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X31fe41ac01720a516cc65fd25eabe3c250afb99"/>
    <w:p>
      <w:pPr>
        <w:pStyle w:val="Heading1"/>
      </w:pPr>
      <w:r>
        <w:t xml:space="preserve">Defence Advisory &amp; Security Solutions Sdn. Bhd.</w:t>
      </w:r>
    </w:p>
    <w:p>
      <w:pPr>
        <w:pStyle w:val="FirstParagraph"/>
      </w:pPr>
      <w:r>
        <w:t xml:space="preserve">Lot 12, Level 8, Menara Sentral</w:t>
      </w:r>
    </w:p>
    <w:p>
      <w:pPr>
        <w:pStyle w:val="BodyText"/>
      </w:pPr>
      <w:r>
        <w:t xml:space="preserve">Jalan Ampang, 50450 Malaysia Kuala Lumpur</w:t>
      </w:r>
    </w:p>
    <w:p>
      <w:pPr>
        <w:pStyle w:val="BodyText"/>
      </w:pPr>
      <w:r>
        <w:t xml:space="preserve">Tel: +603-2145-8800 | Email: billing@defadvisory.my</w:t>
      </w:r>
    </w:p>
    <w:p>
      <w:pPr>
        <w:pStyle w:val="BodyText"/>
      </w:pPr>
      <w:r>
        <w:t xml:space="preserve">Company Reg. No: 201901045678 (K)</w:t>
      </w:r>
    </w:p>
    <w:p>
      <w:pPr>
        <w:pStyle w:val="BodyText"/>
      </w:pPr>
      <w:r>
        <w:t xml:space="preserve">TIN: 001234567890</w:t>
      </w:r>
    </w:p>
    <w:bookmarkEnd w:id="20"/>
    <w:bookmarkStart w:id="21" w:name="invoice"/>
    <w:p>
      <w:pPr>
        <w:pStyle w:val="Heading2"/>
      </w:pPr>
      <w:r>
        <w:t xml:space="preserve">INVOICE</w:t>
      </w:r>
    </w:p>
    <w:p>
      <w:pPr>
        <w:pStyle w:val="FirstParagraph"/>
      </w:pPr>
      <w:r>
        <w:t xml:space="preserve">Invoice No: DAS-2025-00472</w:t>
      </w:r>
    </w:p>
    <w:p>
      <w:pPr>
        <w:pStyle w:val="BodyText"/>
      </w:pPr>
      <w:r>
        <w:t xml:space="preserve">Date Issued: 15 June 2025</w:t>
      </w:r>
    </w:p>
    <w:p>
      <w:pPr>
        <w:pStyle w:val="BodyText"/>
      </w:pPr>
      <w:r>
        <w:t xml:space="preserve">Due Date: 15 July 2025</w:t>
      </w:r>
    </w:p>
    <w:p>
      <w:pPr>
        <w:pStyle w:val="BodyText"/>
      </w:pPr>
      <w:r>
        <w:t xml:space="preserve">PENDING PAYMENT</w:t>
      </w:r>
    </w:p>
    <w:bookmarkEnd w:id="21"/>
    <w:bookmarkStart w:id="22" w:name="bill-to"/>
    <w:p>
      <w:pPr>
        <w:pStyle w:val="Heading3"/>
      </w:pPr>
      <w:r>
        <w:t xml:space="preserve">Bill To</w:t>
      </w:r>
    </w:p>
    <w:p>
      <w:pPr>
        <w:pStyle w:val="FirstParagraph"/>
      </w:pPr>
      <w:r>
        <w:t xml:space="preserve">Client:</w:t>
      </w:r>
      <w:r>
        <w:t xml:space="preserve"> </w:t>
      </w:r>
      <w:r>
        <w:t xml:space="preserve">Federal Government Security Division</w:t>
      </w:r>
    </w:p>
    <w:p>
      <w:pPr>
        <w:pStyle w:val="BodyText"/>
      </w:pPr>
      <w:r>
        <w:t xml:space="preserve">Attn:</w:t>
      </w:r>
      <w:r>
        <w:t xml:space="preserve"> </w:t>
      </w:r>
      <w:r>
        <w:t xml:space="preserve">Director General, Security Operations</w:t>
      </w:r>
    </w:p>
    <w:p>
      <w:pPr>
        <w:pStyle w:val="BodyText"/>
      </w:pPr>
      <w:r>
        <w:t xml:space="preserve">Address:</w:t>
      </w:r>
      <w:r>
        <w:t xml:space="preserve"> </w:t>
      </w:r>
      <w:r>
        <w:t xml:space="preserve">Wisma Persekutuan, Jalan Duta,</w:t>
      </w:r>
    </w:p>
    <w:p>
      <w:pPr>
        <w:pStyle w:val="BodyText"/>
      </w:pPr>
      <w:r>
        <w:t xml:space="preserve">50480 Malaysia Kuala Lumpur</w:t>
      </w:r>
    </w:p>
    <w:p>
      <w:pPr>
        <w:pStyle w:val="BodyText"/>
      </w:pPr>
      <w:r>
        <w:t xml:space="preserve">Contact:</w:t>
      </w:r>
      <w:r>
        <w:t xml:space="preserve"> </w:t>
      </w:r>
      <w:r>
        <w:t xml:space="preserve">+603-2282-1000</w:t>
      </w:r>
    </w:p>
    <w:bookmarkEnd w:id="22"/>
    <w:bookmarkStart w:id="23" w:name="service-provider"/>
    <w:p>
      <w:pPr>
        <w:pStyle w:val="Heading3"/>
      </w:pPr>
      <w:r>
        <w:t xml:space="preserve">Service Provider</w:t>
      </w:r>
    </w:p>
    <w:p>
      <w:pPr>
        <w:pStyle w:val="FirstParagraph"/>
      </w:pPr>
      <w:r>
        <w:t xml:space="preserve">Lead Consultant:</w:t>
      </w:r>
      <w:r>
        <w:t xml:space="preserve"> </w:t>
      </w:r>
      <w:r>
        <w:t xml:space="preserve">Col. (Ret.) Ahmad bin Ismail</w:t>
      </w:r>
    </w:p>
    <w:p>
      <w:pPr>
        <w:pStyle w:val="BodyText"/>
      </w:pPr>
      <w:r>
        <w:t xml:space="preserve">Designation:</w:t>
      </w:r>
      <w:r>
        <w:t xml:space="preserve"> </w:t>
      </w:r>
      <w:r>
        <w:t xml:space="preserve">Senior Military Officer, Defence Strategy</w:t>
      </w:r>
    </w:p>
    <w:p>
      <w:pPr>
        <w:pStyle w:val="BodyText"/>
      </w:pPr>
      <w:r>
        <w:t xml:space="preserve">License No:</w:t>
      </w:r>
      <w:r>
        <w:t xml:space="preserve"> </w:t>
      </w:r>
      <w:r>
        <w:t xml:space="preserve">MSB/SEC/2024/0091</w:t>
      </w:r>
    </w:p>
    <w:p>
      <w:pPr>
        <w:pStyle w:val="BodyText"/>
      </w:pPr>
      <w:r>
        <w:t xml:space="preserve">Base of Operations:</w:t>
      </w:r>
      <w:r>
        <w:t xml:space="preserve"> </w:t>
      </w:r>
      <w:r>
        <w:t xml:space="preserve">Malaysia Kuala Lumpur</w:t>
      </w:r>
    </w:p>
    <w:p>
      <w:pPr>
        <w:pStyle w:val="BodyText"/>
      </w:pPr>
      <w:r>
        <w:t xml:space="preserve">Engagement Ref:</w:t>
      </w:r>
      <w:r>
        <w:t xml:space="preserve"> </w:t>
      </w:r>
      <w:r>
        <w:t xml:space="preserve">FGS-2025-Q2-SEC</w:t>
      </w:r>
    </w:p>
    <w:bookmarkEnd w:id="23"/>
    <w:bookmarkStart w:id="24" w:name="Xe68fbed12c84a2f2f34a350083758439fce0c8e"/>
    <w:p>
      <w:pPr>
        <w:pStyle w:val="Heading3"/>
      </w:pPr>
      <w:r>
        <w:t xml:space="preserve">Description of Services Rendered by Military Officer</w:t>
      </w:r>
    </w:p>
    <w:p>
      <w:pPr>
        <w:pStyle w:val="FirstParagraph"/>
      </w:pPr>
      <w:r>
        <w:t xml:space="preserve">The following Invoice covers professional services delivered by a qualified Military Officer engaged in strategic security advisory, tactical training, and operational planning within the Malaysia Kuala Lumpur metropolitan area and surrounding federal territories.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c>
          <w:tcPr/>
          <w:p>
            <w:pPr>
              <w:pStyle w:val="Compact"/>
              <w:jc w:val="left"/>
            </w:pPr>
            <w:r>
              <w:t xml:space="preserve">SST (6%)</w:t>
            </w:r>
          </w:p>
        </w:tc>
      </w:tr>
      <w:tr>
        <w:tc>
          <w:tcPr/>
          <w:p>
            <w:pPr>
              <w:pStyle w:val="Compact"/>
              <w:jc w:val="left"/>
            </w:pPr>
            <w:r>
              <w:t xml:space="preserve">01</w:t>
            </w:r>
          </w:p>
        </w:tc>
        <w:tc>
          <w:tcPr/>
          <w:p>
            <w:pPr>
              <w:pStyle w:val="Compact"/>
              <w:jc w:val="left"/>
            </w:pPr>
            <w:r>
              <w:t xml:space="preserve">Strategic Security Assessment and Threat Analysis conducted by Senior Military Officer at Malaysia Kuala Lumpur federal government installations. Includes comprehensive site surveys, vulnerability mapping, and risk mitigation recommendations.</w:t>
            </w:r>
          </w:p>
        </w:tc>
        <w:tc>
          <w:tcPr/>
          <w:p>
            <w:pPr>
              <w:pStyle w:val="Compact"/>
              <w:jc w:val="left"/>
            </w:pPr>
            <w:r>
              <w:t xml:space="preserve">5 working days</w:t>
            </w:r>
          </w:p>
        </w:tc>
        <w:tc>
          <w:tcPr/>
          <w:p>
            <w:pPr>
              <w:pStyle w:val="Compact"/>
              <w:jc w:val="left"/>
            </w:pPr>
            <w:r>
              <w:t xml:space="preserve">4,500.00</w:t>
            </w:r>
          </w:p>
        </w:tc>
        <w:tc>
          <w:tcPr/>
          <w:p>
            <w:pPr>
              <w:pStyle w:val="Compact"/>
              <w:jc w:val="left"/>
            </w:pPr>
            <w:r>
              <w:t xml:space="preserve">22,500.00</w:t>
            </w:r>
          </w:p>
        </w:tc>
        <w:tc>
          <w:tcPr/>
          <w:p>
            <w:pPr>
              <w:pStyle w:val="Compact"/>
              <w:jc w:val="left"/>
            </w:pPr>
            <w:r>
              <w:t xml:space="preserve">1,350.00</w:t>
            </w:r>
          </w:p>
        </w:tc>
      </w:tr>
      <w:tr>
        <w:tc>
          <w:tcPr/>
          <w:p>
            <w:pPr>
              <w:pStyle w:val="Compact"/>
              <w:jc w:val="left"/>
            </w:pPr>
            <w:r>
              <w:t xml:space="preserve">02</w:t>
            </w:r>
          </w:p>
        </w:tc>
        <w:tc>
          <w:tcPr/>
          <w:p>
            <w:pPr>
              <w:pStyle w:val="Compact"/>
              <w:jc w:val="left"/>
            </w:pPr>
            <w:r>
              <w:t xml:space="preserve">Tactical Leadership and Command Training Programme delivered by Military Officer to a cohort of 45 mid-level security personnel. Curriculum covers crisis management, chain of command protocols, and emergency response coordination specific to Malaysia Kuala Lumpur urban environments.</w:t>
            </w:r>
          </w:p>
        </w:tc>
        <w:tc>
          <w:tcPr/>
          <w:p>
            <w:pPr>
              <w:pStyle w:val="Compact"/>
              <w:jc w:val="left"/>
            </w:pPr>
            <w:r>
              <w:t xml:space="preserve">10 working days</w:t>
            </w:r>
          </w:p>
        </w:tc>
        <w:tc>
          <w:tcPr/>
          <w:p>
            <w:pPr>
              <w:pStyle w:val="Compact"/>
              <w:jc w:val="left"/>
            </w:pPr>
            <w:r>
              <w:t xml:space="preserve">3,800.00</w:t>
            </w:r>
          </w:p>
        </w:tc>
        <w:tc>
          <w:tcPr/>
          <w:p>
            <w:pPr>
              <w:pStyle w:val="Compact"/>
              <w:jc w:val="left"/>
            </w:pPr>
            <w:r>
              <w:t xml:space="preserve">38,000.00</w:t>
            </w:r>
          </w:p>
        </w:tc>
        <w:tc>
          <w:tcPr/>
          <w:p>
            <w:pPr>
              <w:pStyle w:val="Compact"/>
              <w:jc w:val="left"/>
            </w:pPr>
            <w:r>
              <w:t xml:space="preserve">2,280.00</w:t>
            </w:r>
          </w:p>
        </w:tc>
      </w:tr>
      <w:tr>
        <w:tc>
          <w:tcPr/>
          <w:p>
            <w:pPr>
              <w:pStyle w:val="Compact"/>
              <w:jc w:val="left"/>
            </w:pPr>
            <w:r>
              <w:t xml:space="preserve">03</w:t>
            </w:r>
          </w:p>
        </w:tc>
        <w:tc>
          <w:tcPr/>
          <w:p>
            <w:pPr>
              <w:pStyle w:val="Compact"/>
              <w:jc w:val="left"/>
            </w:pPr>
            <w:r>
              <w:t xml:space="preserve">Operational Planning and Contingency Framework Development. The Military Officer prepared a 120-page operational doctrine document addressing multi-agency coordination, inter-state security protocols, and disaster response logistics for the Malaysia Kuala Lumpur region.</w:t>
            </w:r>
          </w:p>
        </w:tc>
        <w:tc>
          <w:tcPr/>
          <w:p>
            <w:pPr>
              <w:pStyle w:val="Compact"/>
              <w:jc w:val="left"/>
            </w:pPr>
            <w:r>
              <w:t xml:space="preserve">15 working days</w:t>
            </w:r>
          </w:p>
        </w:tc>
        <w:tc>
          <w:tcPr/>
          <w:p>
            <w:pPr>
              <w:pStyle w:val="Compact"/>
              <w:jc w:val="left"/>
            </w:pPr>
            <w:r>
              <w:t xml:space="preserve">5,200.00</w:t>
            </w:r>
          </w:p>
        </w:tc>
        <w:tc>
          <w:tcPr/>
          <w:p>
            <w:pPr>
              <w:pStyle w:val="Compact"/>
              <w:jc w:val="left"/>
            </w:pPr>
            <w:r>
              <w:t xml:space="preserve">78,000.00</w:t>
            </w:r>
          </w:p>
        </w:tc>
        <w:tc>
          <w:tcPr/>
          <w:p>
            <w:pPr>
              <w:pStyle w:val="Compact"/>
              <w:jc w:val="left"/>
            </w:pPr>
            <w:r>
              <w:t xml:space="preserve">4,680.00</w:t>
            </w:r>
          </w:p>
        </w:tc>
      </w:tr>
      <w:tr>
        <w:tc>
          <w:tcPr/>
          <w:p>
            <w:pPr>
              <w:pStyle w:val="Compact"/>
              <w:jc w:val="left"/>
            </w:pPr>
            <w:r>
              <w:t xml:space="preserve">04</w:t>
            </w:r>
          </w:p>
        </w:tc>
        <w:tc>
          <w:tcPr/>
          <w:p>
            <w:pPr>
              <w:pStyle w:val="Compact"/>
              <w:jc w:val="left"/>
            </w:pPr>
            <w:r>
              <w:t xml:space="preserve">Advisory Consultation Sessions (6 sessions) with the Director General's office regarding border security integration, counter-terrorism intelligence sharing, and joint military-civilian defence strategies applicable to Malaysia Kuala Lumpur and the Klang Valley corridor.</w:t>
            </w:r>
          </w:p>
        </w:tc>
        <w:tc>
          <w:tcPr/>
          <w:p>
            <w:pPr>
              <w:pStyle w:val="Compact"/>
              <w:jc w:val="left"/>
            </w:pPr>
            <w:r>
              <w:t xml:space="preserve">6 sessions</w:t>
            </w:r>
          </w:p>
        </w:tc>
        <w:tc>
          <w:tcPr/>
          <w:p>
            <w:pPr>
              <w:pStyle w:val="Compact"/>
              <w:jc w:val="left"/>
            </w:pPr>
            <w:r>
              <w:t xml:space="preserve">2,800.00</w:t>
            </w:r>
          </w:p>
        </w:tc>
        <w:tc>
          <w:tcPr/>
          <w:p>
            <w:pPr>
              <w:pStyle w:val="Compact"/>
              <w:jc w:val="left"/>
            </w:pPr>
            <w:r>
              <w:t xml:space="preserve">16,800.00</w:t>
            </w:r>
          </w:p>
        </w:tc>
        <w:tc>
          <w:tcPr/>
          <w:p>
            <w:pPr>
              <w:pStyle w:val="Compact"/>
              <w:jc w:val="left"/>
            </w:pPr>
            <w:r>
              <w:t xml:space="preserve">1,008.00</w:t>
            </w:r>
          </w:p>
        </w:tc>
      </w:tr>
      <w:tr>
        <w:tc>
          <w:tcPr/>
          <w:p>
            <w:pPr>
              <w:pStyle w:val="Compact"/>
              <w:jc w:val="left"/>
            </w:pPr>
            <w:r>
              <w:t xml:space="preserve">05</w:t>
            </w:r>
          </w:p>
        </w:tc>
        <w:tc>
          <w:tcPr/>
          <w:p>
            <w:pPr>
              <w:pStyle w:val="Compact"/>
              <w:jc w:val="left"/>
            </w:pPr>
            <w:r>
              <w:t xml:space="preserve">Field Exercise Supervision and After-Action Review. The Military Officer oversaw a full-scale urban security simulation exercise involving 200 personnel across three locations in Malaysia Kuala Lumpur, including Jalan Ampang, Bukit Bintang, and the Port Klang approach routes.</w:t>
            </w:r>
          </w:p>
        </w:tc>
        <w:tc>
          <w:tcPr/>
          <w:p>
            <w:pPr>
              <w:pStyle w:val="Compact"/>
              <w:jc w:val="left"/>
            </w:pPr>
            <w:r>
              <w:t xml:space="preserve">3 working days</w:t>
            </w:r>
          </w:p>
        </w:tc>
        <w:tc>
          <w:tcPr/>
          <w:p>
            <w:pPr>
              <w:pStyle w:val="Compact"/>
              <w:jc w:val="left"/>
            </w:pPr>
            <w:r>
              <w:t xml:space="preserve">6,000.00</w:t>
            </w:r>
          </w:p>
        </w:tc>
        <w:tc>
          <w:tcPr/>
          <w:p>
            <w:pPr>
              <w:pStyle w:val="Compact"/>
              <w:jc w:val="left"/>
            </w:pPr>
            <w:r>
              <w:t xml:space="preserve">18,000.00</w:t>
            </w:r>
          </w:p>
        </w:tc>
        <w:tc>
          <w:tcPr/>
          <w:p>
            <w:pPr>
              <w:pStyle w:val="Compact"/>
              <w:jc w:val="left"/>
            </w:pPr>
            <w:r>
              <w:t xml:space="preserve">1,080.00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MYR 173,300.00</w:t>
            </w:r>
          </w:p>
        </w:tc>
      </w:tr>
      <w:tr>
        <w:tc>
          <w:tcPr/>
          <w:p>
            <w:pPr>
              <w:pStyle w:val="Compact"/>
              <w:jc w:val="left"/>
            </w:pPr>
            <w:r>
              <w:t xml:space="preserve">Service Tax (SST) @ 6%</w:t>
            </w:r>
          </w:p>
        </w:tc>
        <w:tc>
          <w:tcPr/>
          <w:p>
            <w:pPr>
              <w:pStyle w:val="Compact"/>
              <w:jc w:val="left"/>
            </w:pPr>
            <w:r>
              <w:t xml:space="preserve">MYR 10,398.00</w:t>
            </w:r>
          </w:p>
        </w:tc>
      </w:tr>
      <w:tr>
        <w:tc>
          <w:tcPr/>
          <w:p>
            <w:pPr>
              <w:pStyle w:val="Compact"/>
              <w:jc w:val="left"/>
            </w:pPr>
            <w:r>
              <w:t xml:space="preserve">Applicable Discounts</w:t>
            </w:r>
          </w:p>
        </w:tc>
        <w:tc>
          <w:tcPr/>
          <w:p>
            <w:pPr>
              <w:pStyle w:val="Compact"/>
              <w:jc w:val="left"/>
            </w:pPr>
            <w:r>
              <w:t xml:space="preserve">MYR 0.00</w:t>
            </w:r>
          </w:p>
        </w:tc>
      </w:tr>
      <w:tr>
        <w:tc>
          <w:tcPr/>
          <w:p>
            <w:pPr>
              <w:pStyle w:val="Compact"/>
              <w:jc w:val="left"/>
            </w:pPr>
            <w:r>
              <w:t xml:space="preserve">TOTAL AMOUNT DUE</w:t>
            </w:r>
          </w:p>
        </w:tc>
        <w:tc>
          <w:tcPr/>
          <w:p>
            <w:pPr>
              <w:pStyle w:val="Compact"/>
              <w:jc w:val="left"/>
            </w:pPr>
            <w:r>
              <w:t xml:space="preserve">MYR 183,698.00</w:t>
            </w:r>
          </w:p>
        </w:tc>
      </w:tr>
    </w:tbl>
    <w:bookmarkEnd w:id="24"/>
    <w:bookmarkStart w:id="25" w:name="payment-instructions-notes"/>
    <w:p>
      <w:pPr>
        <w:pStyle w:val="Heading3"/>
      </w:pPr>
      <w:r>
        <w:t xml:space="preserve">Payment Instructions &amp; Notes</w:t>
      </w:r>
    </w:p>
    <w:p>
      <w:pPr>
        <w:pStyle w:val="FirstParagraph"/>
      </w:pPr>
      <w:r>
        <w:rPr>
          <w:bCs/>
          <w:b/>
        </w:rPr>
        <w:t xml:space="preserve">Bank:</w:t>
      </w:r>
      <w:r>
        <w:t xml:space="preserve"> </w:t>
      </w:r>
      <w:r>
        <w:t xml:space="preserve">Bank Negara Malaysia / Maybank Berhad</w:t>
      </w:r>
    </w:p>
    <w:p>
      <w:pPr>
        <w:pStyle w:val="BodyText"/>
      </w:pPr>
      <w:r>
        <w:rPr>
          <w:bCs/>
          <w:b/>
        </w:rPr>
        <w:t xml:space="preserve">Account Name:</w:t>
      </w:r>
      <w:r>
        <w:t xml:space="preserve"> </w:t>
      </w:r>
      <w:r>
        <w:t xml:space="preserve">Defence Advisory &amp; Security Solutions Sdn. Bhd.</w:t>
      </w:r>
    </w:p>
    <w:p>
      <w:pPr>
        <w:pStyle w:val="BodyText"/>
      </w:pPr>
      <w:r>
        <w:rPr>
          <w:bCs/>
          <w:b/>
        </w:rPr>
        <w:t xml:space="preserve">Account No:</w:t>
      </w:r>
      <w:r>
        <w:t xml:space="preserve"> </w:t>
      </w:r>
      <w:r>
        <w:t xml:space="preserve">5123-4567-8901</w:t>
      </w:r>
    </w:p>
    <w:p>
      <w:pPr>
        <w:pStyle w:val="BodyText"/>
      </w:pPr>
      <w:r>
        <w:rPr>
          <w:bCs/>
          <w:b/>
        </w:rPr>
        <w:t xml:space="preserve">SWIFT Code:</w:t>
      </w:r>
      <w:r>
        <w:t xml:space="preserve"> </w:t>
      </w:r>
      <w:r>
        <w:t xml:space="preserve">BMMBMYKL</w:t>
      </w:r>
    </w:p>
    <w:p>
      <w:pPr>
        <w:pStyle w:val="BodyText"/>
      </w:pPr>
      <w:r>
        <w:rPr>
          <w:bCs/>
          <w:b/>
        </w:rPr>
        <w:t xml:space="preserve">Reference:</w:t>
      </w:r>
      <w:r>
        <w:t xml:space="preserve"> </w:t>
      </w:r>
      <w:r>
        <w:t xml:space="preserve">Please quote Invoice No. DAS-2025-00472 in all correspondence.</w:t>
      </w:r>
    </w:p>
    <w:p>
      <w:pPr>
        <w:pStyle w:val="BodyText"/>
      </w:pPr>
      <w:r>
        <w:t xml:space="preserve">This Invoice is issued in accordance with the Malaysian Inland Revenue Board (LHDN) e-Invoicing guidelines effective from 1 January 2025. The Military Officer services described herein have been fully completed and verified by the client's designated project officer. Payment is due within thirty (30) calendar days from the date of issue. Late payments shall attract a penalty of 1.5% per month as stipulated in the Master Service Agreement dated 1 February 2025.</w:t>
      </w:r>
    </w:p>
    <w:bookmarkEnd w:id="25"/>
    <w:bookmarkStart w:id="26" w:name="terms-and-conditions"/>
    <w:p>
      <w:pPr>
        <w:pStyle w:val="Heading3"/>
      </w:pPr>
      <w:r>
        <w:t xml:space="preserve">Terms and Conditions</w:t>
      </w:r>
    </w:p>
    <w:p>
      <w:pPr>
        <w:numPr>
          <w:ilvl w:val="0"/>
          <w:numId w:val="1001"/>
        </w:numPr>
        <w:pStyle w:val="Compact"/>
      </w:pPr>
      <w:r>
        <w:t xml:space="preserve">This Invoice constitutes a formal request for payment for services rendered by the undersigned Military Officer and his team under contract reference FGS-2025-Q2-SEC.</w:t>
      </w:r>
    </w:p>
    <w:p>
      <w:pPr>
        <w:numPr>
          <w:ilvl w:val="0"/>
          <w:numId w:val="1001"/>
        </w:numPr>
        <w:pStyle w:val="Compact"/>
      </w:pPr>
      <w:r>
        <w:t xml:space="preserve">All services were performed in compliance with the Malaysian Armed Forces (ATM) advisory regulations and the Security Service Act 1974 (Act 154) as applicable to Malaysia Kuala Lumpur operations.</w:t>
      </w:r>
    </w:p>
    <w:p>
      <w:pPr>
        <w:numPr>
          <w:ilvl w:val="0"/>
          <w:numId w:val="1001"/>
        </w:numPr>
        <w:pStyle w:val="Compact"/>
      </w:pPr>
      <w:r>
        <w:t xml:space="preserve">The Military Officer warrants that all deliverables, including the operational doctrine document and training materials, remain the intellectual property of the client upon full settlement of this Invoice.</w:t>
      </w:r>
    </w:p>
    <w:p>
      <w:pPr>
        <w:numPr>
          <w:ilvl w:val="0"/>
          <w:numId w:val="1001"/>
        </w:numPr>
        <w:pStyle w:val="Compact"/>
      </w:pPr>
      <w:r>
        <w:t xml:space="preserve">Confidentiality obligations under the Official Secrets Act 1972 (Act 111) continue to apply to all information exchanged during the engagement period in Malaysia Kuala Lumpur.</w:t>
      </w:r>
    </w:p>
    <w:p>
      <w:pPr>
        <w:numPr>
          <w:ilvl w:val="0"/>
          <w:numId w:val="1001"/>
        </w:numPr>
        <w:pStyle w:val="Compact"/>
      </w:pPr>
      <w:r>
        <w:t xml:space="preserve">Any disputes arising from this Invoice shall be resolved through arbitration in Malaysia Kuala Lumpur in accordance with the Arbitration Act 2005 (Act 646).</w:t>
      </w:r>
    </w:p>
    <w:p>
      <w:pPr>
        <w:numPr>
          <w:ilvl w:val="0"/>
          <w:numId w:val="1001"/>
        </w:numPr>
        <w:pStyle w:val="Compact"/>
      </w:pPr>
      <w:r>
        <w:t xml:space="preserve">This Invoice is valid for a period of ninety (90) days from the date of issue. Beyond this period, the client must request a revised Invoice reflecting any applicable regulatory changes.</w:t>
      </w:r>
    </w:p>
    <w:bookmarkEnd w:id="26"/>
    <w:p>
      <w:pPr>
        <w:pStyle w:val="FirstParagraph"/>
      </w:pPr>
      <w:r>
        <w:t xml:space="preserve">Defence Advisory &amp; Security Solutions Sdn. Bhd. | Malaysia Kuala Lumpur | All Rights Reserved © 2025</w:t>
      </w:r>
    </w:p>
    <w:p>
      <w:pPr>
        <w:pStyle w:val="BodyText"/>
      </w:pPr>
      <w:r>
        <w:t xml:space="preserve">This Invoice was generated electronically and is valid without a physical signature. For verification, contact billing@defadvisory.my or +603-2145-8800.</w:t>
      </w:r>
    </w:p>
    <w:p>
      <w:pPr>
        <w:pStyle w:val="BodyText"/>
      </w:pPr>
      <w:r>
        <w:t xml:space="preserve">Page 1 of 1 | Invoice DAS-2025-00472 | Military Officer Services |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Malaysia Kuala Lumpur</dc:title>
  <dc:creator/>
  <dc:language>en</dc:language>
  <cp:keywords/>
  <dcterms:created xsi:type="dcterms:W3CDTF">2026-10-10T02:44:34Z</dcterms:created>
  <dcterms:modified xsi:type="dcterms:W3CDTF">2026-10-10T02:44:34Z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