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invoice"/>
    <w:p>
      <w:pPr>
        <w:pStyle w:val="Heading1"/>
      </w:pPr>
      <w:r>
        <w:t xml:space="preserve">Invoice</w:t>
      </w:r>
    </w:p>
    <w:p>
      <w:pPr>
        <w:pStyle w:val="FirstParagraph"/>
      </w:pPr>
      <w:r>
        <w:t xml:space="preserve">Military Officer Professional Services &amp; Strategic Consulting</w:t>
      </w:r>
    </w:p>
    <w:p>
      <w:pPr>
        <w:pStyle w:val="BodyText"/>
      </w:pPr>
      <w:r>
        <w:t xml:space="preserve">United Arab Emirates — Abu Dhabi</w:t>
      </w:r>
    </w:p>
    <w:p>
      <w:pPr>
        <w:pStyle w:val="BodyText"/>
      </w:pPr>
      <w:r>
        <w:t xml:space="preserve">Official Invoice Document</w:t>
      </w:r>
    </w:p>
    <w:bookmarkEnd w:id="20"/>
    <w:p>
      <w:pPr>
        <w:pStyle w:val="BodyText"/>
      </w:pPr>
      <w:r>
        <w:t xml:space="preserve">Invoice Number</w:t>
      </w:r>
    </w:p>
    <w:p>
      <w:pPr>
        <w:pStyle w:val="BodyText"/>
      </w:pPr>
      <w:r>
        <w:t xml:space="preserve">INV-AD-2025-MO-04782</w:t>
      </w:r>
    </w:p>
    <w:p>
      <w:pPr>
        <w:pStyle w:val="BodyText"/>
      </w:pPr>
      <w:r>
        <w:t xml:space="preserve">Date of Issue</w:t>
      </w:r>
    </w:p>
    <w:p>
      <w:pPr>
        <w:pStyle w:val="BodyText"/>
      </w:pPr>
      <w:r>
        <w:t xml:space="preserve">15 June 2025</w:t>
      </w:r>
    </w:p>
    <w:p>
      <w:pPr>
        <w:pStyle w:val="BodyText"/>
      </w:pPr>
      <w:r>
        <w:t xml:space="preserve">Due Date</w:t>
      </w:r>
    </w:p>
    <w:p>
      <w:pPr>
        <w:pStyle w:val="BodyText"/>
      </w:pPr>
      <w:r>
        <w:t xml:space="preserve">15 July 2025</w:t>
      </w:r>
    </w:p>
    <w:p>
      <w:pPr>
        <w:pStyle w:val="BodyText"/>
      </w:pPr>
      <w:r>
        <w:t xml:space="preserve">Currency</w:t>
      </w:r>
    </w:p>
    <w:p>
      <w:pPr>
        <w:pStyle w:val="BodyText"/>
      </w:pPr>
      <w:r>
        <w:t xml:space="preserve">UAE Dirham (AED)</w:t>
      </w:r>
    </w:p>
    <w:bookmarkStart w:id="21" w:name="issued-by-service-provider"/>
    <w:p>
      <w:pPr>
        <w:pStyle w:val="Heading3"/>
      </w:pPr>
      <w:r>
        <w:t xml:space="preserve">Issued By (Service Provider)</w:t>
      </w:r>
    </w:p>
    <w:p>
      <w:pPr>
        <w:pStyle w:val="FirstParagraph"/>
      </w:pPr>
      <w:r>
        <w:rPr>
          <w:bCs/>
          <w:b/>
        </w:rPr>
        <w:t xml:space="preserve">Col. Khalid bin Rashid Al Mansoori</w:t>
      </w:r>
    </w:p>
    <w:p>
      <w:pPr>
        <w:pStyle w:val="BodyText"/>
      </w:pPr>
      <w:r>
        <w:t xml:space="preserve">Military Officer &amp; Strategic Defense Consultant</w:t>
      </w:r>
    </w:p>
    <w:p>
      <w:pPr>
        <w:pStyle w:val="BodyText"/>
      </w:pPr>
      <w:r>
        <w:t xml:space="preserve">Al Mansoori Military Advisory Group</w:t>
      </w:r>
    </w:p>
    <w:p>
      <w:pPr>
        <w:pStyle w:val="BodyText"/>
      </w:pPr>
      <w:r>
        <w:t xml:space="preserve">Office 1204, Level 12, Al Reem Island Tower</w:t>
      </w:r>
    </w:p>
    <w:p>
      <w:pPr>
        <w:pStyle w:val="BodyText"/>
      </w:pPr>
      <w:r>
        <w:t xml:space="preserve">Abu Dhabi, United Arab Emirates</w:t>
      </w:r>
    </w:p>
    <w:p>
      <w:pPr>
        <w:pStyle w:val="BodyText"/>
      </w:pPr>
      <w:r>
        <w:t xml:space="preserve">Tel: +971-2-555-0147</w:t>
      </w:r>
    </w:p>
    <w:p>
      <w:pPr>
        <w:pStyle w:val="BodyText"/>
      </w:pPr>
      <w:r>
        <w:t xml:space="preserve">Email: k.almansoori@militaryadvisory.ae</w:t>
      </w:r>
    </w:p>
    <w:p>
      <w:pPr>
        <w:pStyle w:val="BodyText"/>
      </w:pPr>
      <w:r>
        <w:t xml:space="preserve">Trade License No.: AD-ML-2019-88341</w:t>
      </w:r>
    </w:p>
    <w:bookmarkEnd w:id="21"/>
    <w:bookmarkStart w:id="22" w:name="issued-to-client"/>
    <w:p>
      <w:pPr>
        <w:pStyle w:val="Heading3"/>
      </w:pPr>
      <w:r>
        <w:t xml:space="preserve">Issued To (Client)</w:t>
      </w:r>
    </w:p>
    <w:p>
      <w:pPr>
        <w:pStyle w:val="FirstParagraph"/>
      </w:pPr>
      <w:r>
        <w:rPr>
          <w:bCs/>
          <w:b/>
        </w:rPr>
        <w:t xml:space="preserve">Abu Dhabi National Security &amp; Infrastructure Authority</w:t>
      </w:r>
    </w:p>
    <w:p>
      <w:pPr>
        <w:pStyle w:val="BodyText"/>
      </w:pPr>
      <w:r>
        <w:t xml:space="preserve">Attn: Director of Procurement &amp; Contracts</w:t>
      </w:r>
    </w:p>
    <w:p>
      <w:pPr>
        <w:pStyle w:val="BodyText"/>
      </w:pPr>
      <w:r>
        <w:t xml:space="preserve">Ministry of Defence Complex</w:t>
      </w:r>
    </w:p>
    <w:p>
      <w:pPr>
        <w:pStyle w:val="BodyText"/>
      </w:pPr>
      <w:r>
        <w:t xml:space="preserve">Al Ain Road, Abu Dhabi</w:t>
      </w:r>
    </w:p>
    <w:p>
      <w:pPr>
        <w:pStyle w:val="BodyText"/>
      </w:pPr>
      <w:r>
        <w:t xml:space="preserve">United Arab Emirates</w:t>
      </w:r>
    </w:p>
    <w:p>
      <w:pPr>
        <w:pStyle w:val="BodyText"/>
      </w:pPr>
      <w:r>
        <w:t xml:space="preserve">Tel: +971-2-555-7700</w:t>
      </w:r>
    </w:p>
    <w:p>
      <w:pPr>
        <w:pStyle w:val="BodyText"/>
      </w:pPr>
      <w:r>
        <w:t xml:space="preserve">Email: procurement@adnsia.gov.ae</w:t>
      </w:r>
    </w:p>
    <w:p>
      <w:pPr>
        <w:pStyle w:val="BodyText"/>
      </w:pPr>
      <w:r>
        <w:t xml:space="preserve">Client Reference: ADNSIA-2025-Q2-0312</w:t>
      </w:r>
    </w:p>
    <w:bookmarkEnd w:id="22"/>
    <w:bookmarkStart w:id="24" w:name="Xb3bc409fbb84cb5cebfdf50cf7a2519cb3460e3"/>
    <w:p>
      <w:pPr>
        <w:pStyle w:val="Heading2"/>
      </w:pPr>
      <w:r>
        <w:t xml:space="preserve">Invoice Line Items — Military Officer Services Rendered</w:t>
      </w:r>
    </w:p>
    <w:p>
      <w:pPr>
        <w:pStyle w:val="FirstParagraph"/>
      </w:pPr>
      <w:r>
        <w:t xml:space="preserve">The following Invoice details the professional services provided by the undersigned Military Officer in the capacity of a senior strategic advisor and tactical training director, delivered within the jurisdiction of Abu Dhabi, United Arab Emirates, in accordance with the terms of Contract Reference ADNSIA-2025-Q2-0312.</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Military Officer Service</w:t>
            </w:r>
          </w:p>
        </w:tc>
        <w:tc>
          <w:tcPr/>
          <w:p>
            <w:pPr>
              <w:pStyle w:val="Compact"/>
              <w:jc w:val="left"/>
            </w:pPr>
            <w:r>
              <w:t xml:space="preserve">Date Performed</w:t>
            </w:r>
          </w:p>
        </w:tc>
        <w:tc>
          <w:tcPr/>
          <w:p>
            <w:pPr>
              <w:pStyle w:val="Compact"/>
              <w:jc w:val="left"/>
            </w:pPr>
            <w:r>
              <w:t xml:space="preserve">Location</w:t>
            </w:r>
          </w:p>
        </w:tc>
        <w:tc>
          <w:tcPr/>
          <w:p>
            <w:pPr>
              <w:pStyle w:val="Compact"/>
              <w:jc w:val="left"/>
            </w:pPr>
            <w:r>
              <w:t xml:space="preserve">Hours / Units</w:t>
            </w:r>
          </w:p>
        </w:tc>
        <w:tc>
          <w:tcPr/>
          <w:p>
            <w:pPr>
              <w:pStyle w:val="Compact"/>
              <w:jc w:val="left"/>
            </w:pPr>
            <w:r>
              <w:t xml:space="preserve">Amount (AED)</w:t>
            </w:r>
          </w:p>
        </w:tc>
      </w:tr>
      <w:tr>
        <w:tc>
          <w:tcPr/>
          <w:p>
            <w:pPr>
              <w:pStyle w:val="Compact"/>
              <w:jc w:val="left"/>
            </w:pPr>
            <w:r>
              <w:t xml:space="preserve">01</w:t>
            </w:r>
          </w:p>
        </w:tc>
        <w:tc>
          <w:tcPr/>
          <w:p>
            <w:pPr>
              <w:pStyle w:val="Compact"/>
              <w:jc w:val="left"/>
            </w:pPr>
            <w:r>
              <w:t xml:space="preserve">Strategic Defense Assessment &amp; Threat Analysis Report prepared by Military Officer for the Abu Dhabi coastal perimeter security infrastructure. Includes comprehensive risk matrix and force deployment recommendations.</w:t>
            </w:r>
          </w:p>
        </w:tc>
        <w:tc>
          <w:tcPr/>
          <w:p>
            <w:pPr>
              <w:pStyle w:val="Compact"/>
              <w:jc w:val="left"/>
            </w:pPr>
            <w:r>
              <w:t xml:space="preserve">02 Jun 2025</w:t>
            </w:r>
          </w:p>
        </w:tc>
        <w:tc>
          <w:tcPr/>
          <w:p>
            <w:pPr>
              <w:pStyle w:val="Compact"/>
              <w:jc w:val="left"/>
            </w:pPr>
            <w:r>
              <w:t xml:space="preserve">Abu Dhabi, UAE</w:t>
            </w:r>
          </w:p>
        </w:tc>
        <w:tc>
          <w:tcPr/>
          <w:p>
            <w:pPr>
              <w:pStyle w:val="Compact"/>
              <w:jc w:val="left"/>
            </w:pPr>
            <w:r>
              <w:t xml:space="preserve">1 Report</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On-site Tactical Leadership Training conducted by Military Officer for a cohort of 45 junior officers at the Al Ain Military Training Grounds. Covered advanced command-and-control protocols, urban warfare doctrine, and crisis management under pressure.</w:t>
            </w:r>
          </w:p>
        </w:tc>
        <w:tc>
          <w:tcPr/>
          <w:p>
            <w:pPr>
              <w:pStyle w:val="Compact"/>
              <w:jc w:val="left"/>
            </w:pPr>
            <w:r>
              <w:t xml:space="preserve">05–07 Jun 2025</w:t>
            </w:r>
          </w:p>
        </w:tc>
        <w:tc>
          <w:tcPr/>
          <w:p>
            <w:pPr>
              <w:pStyle w:val="Compact"/>
              <w:jc w:val="left"/>
            </w:pPr>
            <w:r>
              <w:t xml:space="preserve">Al Ain, Abu Dhabi</w:t>
            </w:r>
          </w:p>
        </w:tc>
        <w:tc>
          <w:tcPr/>
          <w:p>
            <w:pPr>
              <w:pStyle w:val="Compact"/>
              <w:jc w:val="left"/>
            </w:pPr>
            <w:r>
              <w:t xml:space="preserve">3 Days</w:t>
            </w:r>
          </w:p>
        </w:tc>
        <w:tc>
          <w:tcPr/>
          <w:p>
            <w:pPr>
              <w:pStyle w:val="Compact"/>
              <w:jc w:val="left"/>
            </w:pPr>
            <w:r>
              <w:t xml:space="preserve">36,000.00</w:t>
            </w:r>
          </w:p>
        </w:tc>
      </w:tr>
      <w:tr>
        <w:tc>
          <w:tcPr/>
          <w:p>
            <w:pPr>
              <w:pStyle w:val="Compact"/>
              <w:jc w:val="left"/>
            </w:pPr>
            <w:r>
              <w:t xml:space="preserve">03</w:t>
            </w:r>
          </w:p>
        </w:tc>
        <w:tc>
          <w:tcPr/>
          <w:p>
            <w:pPr>
              <w:pStyle w:val="Compact"/>
              <w:jc w:val="left"/>
            </w:pPr>
            <w:r>
              <w:t xml:space="preserve">Advisory Consultation Session: Military Officer provided a 6-hour closed-door briefing to the Abu Dhabi Security Council on interoperability frameworks between UAE Armed Forces and allied NATO partner units stationed in the region.</w:t>
            </w:r>
          </w:p>
        </w:tc>
        <w:tc>
          <w:tcPr/>
          <w:p>
            <w:pPr>
              <w:pStyle w:val="Compact"/>
              <w:jc w:val="left"/>
            </w:pPr>
            <w:r>
              <w:t xml:space="preserve">09 Jun 2025</w:t>
            </w:r>
          </w:p>
        </w:tc>
        <w:tc>
          <w:tcPr/>
          <w:p>
            <w:pPr>
              <w:pStyle w:val="Compact"/>
              <w:jc w:val="left"/>
            </w:pPr>
            <w:r>
              <w:t xml:space="preserve">Abu Dhabi, UAE</w:t>
            </w:r>
          </w:p>
        </w:tc>
        <w:tc>
          <w:tcPr/>
          <w:p>
            <w:pPr>
              <w:pStyle w:val="Compact"/>
              <w:jc w:val="left"/>
            </w:pPr>
            <w:r>
              <w:t xml:space="preserve">6 Hours</w:t>
            </w:r>
          </w:p>
        </w:tc>
        <w:tc>
          <w:tcPr/>
          <w:p>
            <w:pPr>
              <w:pStyle w:val="Compact"/>
              <w:jc w:val="left"/>
            </w:pPr>
            <w:r>
              <w:t xml:space="preserve">21,600.00</w:t>
            </w:r>
          </w:p>
        </w:tc>
      </w:tr>
      <w:tr>
        <w:tc>
          <w:tcPr/>
          <w:p>
            <w:pPr>
              <w:pStyle w:val="Compact"/>
              <w:jc w:val="left"/>
            </w:pPr>
            <w:r>
              <w:t xml:space="preserve">04</w:t>
            </w:r>
          </w:p>
        </w:tc>
        <w:tc>
          <w:tcPr/>
          <w:p>
            <w:pPr>
              <w:pStyle w:val="Compact"/>
              <w:jc w:val="left"/>
            </w:pPr>
            <w:r>
              <w:t xml:space="preserve">Development of a 90-page Operational Readiness Manual tailored for the Abu Dhabi Port Authority's emergency response division. Authored and reviewed by the Military Officer in coordination with civil defense authorities.</w:t>
            </w:r>
          </w:p>
        </w:tc>
        <w:tc>
          <w:tcPr/>
          <w:p>
            <w:pPr>
              <w:pStyle w:val="Compact"/>
              <w:jc w:val="left"/>
            </w:pPr>
            <w:r>
              <w:t xml:space="preserve">10–12 Jun 2025</w:t>
            </w:r>
          </w:p>
        </w:tc>
        <w:tc>
          <w:tcPr/>
          <w:p>
            <w:pPr>
              <w:pStyle w:val="Compact"/>
              <w:jc w:val="left"/>
            </w:pPr>
            <w:r>
              <w:t xml:space="preserve">Abu Dhabi, UAE</w:t>
            </w:r>
          </w:p>
        </w:tc>
        <w:tc>
          <w:tcPr/>
          <w:p>
            <w:pPr>
              <w:pStyle w:val="Compact"/>
              <w:jc w:val="left"/>
            </w:pPr>
            <w:r>
              <w:t xml:space="preserve">1 Manual</w:t>
            </w:r>
          </w:p>
        </w:tc>
        <w:tc>
          <w:tcPr/>
          <w:p>
            <w:pPr>
              <w:pStyle w:val="Compact"/>
              <w:jc w:val="left"/>
            </w:pPr>
            <w:r>
              <w:t xml:space="preserve">27,400.00</w:t>
            </w:r>
          </w:p>
        </w:tc>
      </w:tr>
      <w:tr>
        <w:tc>
          <w:tcPr/>
          <w:p>
            <w:pPr>
              <w:pStyle w:val="Compact"/>
              <w:jc w:val="left"/>
            </w:pPr>
            <w:r>
              <w:t xml:space="preserve">05</w:t>
            </w:r>
          </w:p>
        </w:tc>
        <w:tc>
          <w:tcPr/>
          <w:p>
            <w:pPr>
              <w:pStyle w:val="Compact"/>
              <w:jc w:val="left"/>
            </w:pPr>
            <w:r>
              <w:t xml:space="preserve">Field Inspection &amp; After-Action Review: Military Officer conducted a full operational walkthrough of the newly commissioned Al Dhafra Logistics Hub, evaluating supply-chain resilience and recommending 14 corrective actions.</w:t>
            </w:r>
          </w:p>
        </w:tc>
        <w:tc>
          <w:tcPr/>
          <w:p>
            <w:pPr>
              <w:pStyle w:val="Compact"/>
              <w:jc w:val="left"/>
            </w:pPr>
            <w:r>
              <w:t xml:space="preserve">13 Jun 2025</w:t>
            </w:r>
          </w:p>
        </w:tc>
        <w:tc>
          <w:tcPr/>
          <w:p>
            <w:pPr>
              <w:pStyle w:val="Compact"/>
              <w:jc w:val="left"/>
            </w:pPr>
            <w:r>
              <w:t xml:space="preserve">Al Dhafra, Abu Dhabi</w:t>
            </w:r>
          </w:p>
        </w:tc>
        <w:tc>
          <w:tcPr/>
          <w:p>
            <w:pPr>
              <w:pStyle w:val="Compact"/>
              <w:jc w:val="left"/>
            </w:pPr>
            <w:r>
              <w:t xml:space="preserve">1 Day</w:t>
            </w:r>
          </w:p>
        </w:tc>
        <w:tc>
          <w:tcPr/>
          <w:p>
            <w:pPr>
              <w:pStyle w:val="Compact"/>
              <w:jc w:val="left"/>
            </w:pPr>
            <w:r>
              <w:t xml:space="preserve">12,800.00</w:t>
            </w:r>
          </w:p>
        </w:tc>
      </w:tr>
      <w:tr>
        <w:tc>
          <w:tcPr/>
          <w:p>
            <w:pPr>
              <w:pStyle w:val="Compact"/>
              <w:jc w:val="left"/>
            </w:pPr>
            <w:r>
              <w:t xml:space="preserve">06</w:t>
            </w:r>
          </w:p>
        </w:tc>
        <w:tc>
          <w:tcPr/>
          <w:p>
            <w:pPr>
              <w:pStyle w:val="Compact"/>
              <w:jc w:val="left"/>
            </w:pPr>
            <w:r>
              <w:t xml:space="preserve">Travel, accommodation, and per diem expenses incurred by the Military Officer while performing duties across multiple sites within Abu Dhabi and the wider United Arab Emirates emirates during the billing period.</w:t>
            </w:r>
          </w:p>
        </w:tc>
        <w:tc>
          <w:tcPr/>
          <w:p>
            <w:pPr>
              <w:pStyle w:val="Compact"/>
              <w:jc w:val="left"/>
            </w:pPr>
            <w:r>
              <w:t xml:space="preserve">02–13 Jun 2025</w:t>
            </w:r>
          </w:p>
        </w:tc>
        <w:tc>
          <w:tcPr/>
          <w:p>
            <w:pPr>
              <w:pStyle w:val="Compact"/>
              <w:jc w:val="left"/>
            </w:pPr>
            <w:r>
              <w:t xml:space="preserve">Abu Dhabi, UAE</w:t>
            </w:r>
          </w:p>
        </w:tc>
        <w:tc>
          <w:tcPr/>
          <w:p>
            <w:pPr>
              <w:pStyle w:val="Compact"/>
              <w:jc w:val="left"/>
            </w:pPr>
            <w:r>
              <w:t xml:space="preserve">12 Days</w:t>
            </w:r>
          </w:p>
        </w:tc>
        <w:tc>
          <w:tcPr/>
          <w:p>
            <w:pPr>
              <w:pStyle w:val="Compact"/>
              <w:jc w:val="left"/>
            </w:pPr>
            <w:r>
              <w:t xml:space="preserve">9,350.00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Summary</w:t>
            </w:r>
          </w:p>
        </w:tc>
        <w:tc>
          <w:tcPr/>
          <w:p>
            <w:pPr>
              <w:pStyle w:val="Compact"/>
              <w:jc w:val="left"/>
            </w:pPr>
            <w:r>
              <w:t xml:space="preserve">Amount (AED)</w:t>
            </w:r>
          </w:p>
        </w:tc>
      </w:tr>
      <w:tr>
        <w:tc>
          <w:tcPr/>
          <w:p>
            <w:pPr>
              <w:pStyle w:val="Compact"/>
              <w:jc w:val="left"/>
            </w:pPr>
            <w:r>
              <w:t xml:space="preserve">Subtotal</w:t>
            </w:r>
          </w:p>
        </w:tc>
        <w:tc>
          <w:tcPr/>
          <w:p>
            <w:pPr>
              <w:pStyle w:val="Compact"/>
              <w:jc w:val="left"/>
            </w:pPr>
            <w:r>
              <w:t xml:space="preserve">155,650.00</w:t>
            </w:r>
          </w:p>
        </w:tc>
      </w:tr>
      <w:tr>
        <w:tc>
          <w:tcPr/>
          <w:p>
            <w:pPr>
              <w:pStyle w:val="Compact"/>
              <w:jc w:val="left"/>
            </w:pPr>
            <w:r>
              <w:t xml:space="preserve">VAT (5% — UAE Federal Tax Authority)</w:t>
            </w:r>
          </w:p>
        </w:tc>
        <w:tc>
          <w:tcPr/>
          <w:p>
            <w:pPr>
              <w:pStyle w:val="Compact"/>
              <w:jc w:val="left"/>
            </w:pPr>
            <w:r>
              <w:t xml:space="preserve">7,782.50</w:t>
            </w:r>
          </w:p>
        </w:tc>
      </w:tr>
      <w:tr>
        <w:tc>
          <w:tcPr/>
          <w:p>
            <w:pPr>
              <w:pStyle w:val="Compact"/>
              <w:jc w:val="left"/>
            </w:pPr>
            <w:r>
              <w:t xml:space="preserve">Retained Amount (10% per Contract Clause 14.2)</w:t>
            </w:r>
          </w:p>
        </w:tc>
        <w:tc>
          <w:tcPr/>
          <w:p>
            <w:pPr>
              <w:pStyle w:val="Compact"/>
              <w:jc w:val="left"/>
            </w:pPr>
            <w:r>
              <w:t xml:space="preserve">(15,565.00)</w:t>
            </w:r>
          </w:p>
        </w:tc>
      </w:tr>
      <w:tr>
        <w:tc>
          <w:tcPr/>
          <w:p>
            <w:pPr>
              <w:pStyle w:val="Compact"/>
              <w:jc w:val="left"/>
            </w:pPr>
            <w:r>
              <w:t xml:space="preserve">Net Payable on This Invoice</w:t>
            </w:r>
          </w:p>
        </w:tc>
        <w:tc>
          <w:tcPr/>
          <w:p>
            <w:pPr>
              <w:pStyle w:val="Compact"/>
              <w:jc w:val="left"/>
            </w:pPr>
            <w:r>
              <w:t xml:space="preserve">147,867.50</w:t>
            </w:r>
          </w:p>
        </w:tc>
      </w:tr>
    </w:tbl>
    <w:bookmarkStart w:id="23" w:name="X0bd657da3722715a065fc7e0261655c9d37a8c7"/>
    <w:p>
      <w:pPr>
        <w:pStyle w:val="Heading3"/>
      </w:pPr>
      <w:r>
        <w:t xml:space="preserve">Invoice Terms, Conditions &amp; Payment Instructions</w:t>
      </w:r>
    </w:p>
    <w:p>
      <w:pPr>
        <w:pStyle w:val="FirstParagraph"/>
      </w:pPr>
      <w:r>
        <w:rPr>
          <w:bCs/>
          <w:b/>
        </w:rPr>
        <w:t xml:space="preserve">1.</w:t>
      </w:r>
      <w:r>
        <w:t xml:space="preserve"> </w:t>
      </w:r>
      <w:r>
        <w:t xml:space="preserve">This Invoice is issued in accordance with the Federal Tax Authority regulations of the United Arab Emirates and the contractual obligations set forth in Agreement ADNSIA-2025-Q2-0312. All services described herein were rendered by the named Military Officer in the capacity of a licensed defense consultant operating within Abu Dhabi, United Arab Emirates.</w:t>
      </w:r>
    </w:p>
    <w:p>
      <w:pPr>
        <w:pStyle w:val="BodyText"/>
      </w:pPr>
      <w:r>
        <w:rPr>
          <w:bCs/>
          <w:b/>
        </w:rPr>
        <w:t xml:space="preserve">2.</w:t>
      </w:r>
      <w:r>
        <w:t xml:space="preserve"> </w:t>
      </w:r>
      <w:r>
        <w:t xml:space="preserve">Payment of the Net Payable amount stated on this Invoice shall be remitted within thirty (30) calendar days of the Date of Issue via bank transfer to the following account: Bank of Abu Dhabi, Account Name: Al Mansoori Military Advisory Group LLC, IBAN: AE07 0000 0000 1234 5678 9012 345, SWIFT: BOADAEAD.</w:t>
      </w:r>
    </w:p>
    <w:p>
      <w:pPr>
        <w:pStyle w:val="BodyText"/>
      </w:pPr>
      <w:r>
        <w:rPr>
          <w:bCs/>
          <w:b/>
        </w:rPr>
        <w:t xml:space="preserve">3.</w:t>
      </w:r>
      <w:r>
        <w:t xml:space="preserve"> </w:t>
      </w:r>
      <w:r>
        <w:t xml:space="preserve">The retained amount of 10% shall be released upon satisfactory completion of the final acceptance inspection, no later than 30 September 2025, as stipulated in the master service agreement governing this Military Officer engagement.</w:t>
      </w:r>
    </w:p>
    <w:p>
      <w:pPr>
        <w:pStyle w:val="BodyText"/>
      </w:pPr>
      <w:r>
        <w:rPr>
          <w:bCs/>
          <w:b/>
        </w:rPr>
        <w:t xml:space="preserve">4.</w:t>
      </w:r>
      <w:r>
        <w:t xml:space="preserve"> </w:t>
      </w:r>
      <w:r>
        <w:t xml:space="preserve">Late payments on this Invoice shall attract a penalty of 1.5% per month, in compliance with UAE Commercial Transactions Law (Federal Decree-Law No. 18 of 1993, as amended).</w:t>
      </w:r>
    </w:p>
    <w:p>
      <w:pPr>
        <w:pStyle w:val="BodyText"/>
      </w:pPr>
      <w:r>
        <w:rPr>
          <w:bCs/>
          <w:b/>
        </w:rPr>
        <w:t xml:space="preserve">5.</w:t>
      </w:r>
      <w:r>
        <w:t xml:space="preserve"> </w:t>
      </w:r>
      <w:r>
        <w:t xml:space="preserve">All classified or sensitive materials produced by the Military Officer under this Invoice engagement remain the exclusive property of the Abu Dhabi National Security &amp; Infrastructure Authority and are subject to the UAE National Security Classification Regulations. Unauthorized reproduction or disclosure is a criminal offense under UAE law.</w:t>
      </w:r>
    </w:p>
    <w:p>
      <w:pPr>
        <w:pStyle w:val="BodyText"/>
      </w:pPr>
      <w:r>
        <w:rPr>
          <w:bCs/>
          <w:b/>
        </w:rPr>
        <w:t xml:space="preserve">6.</w:t>
      </w:r>
      <w:r>
        <w:t xml:space="preserve"> </w:t>
      </w:r>
      <w:r>
        <w:t xml:space="preserve">This Invoice constitutes the final and complete statement of charges for the billing period of 01 June 2025 through 14 June 2025. No additional fees, surcharges, or incidental costs are applicable beyond those itemized above.</w:t>
      </w:r>
    </w:p>
    <w:p>
      <w:pPr>
        <w:pStyle w:val="BodyText"/>
      </w:pPr>
      <w:r>
        <w:rPr>
          <w:bCs/>
          <w:b/>
        </w:rPr>
        <w:t xml:space="preserve">7.</w:t>
      </w:r>
      <w:r>
        <w:t xml:space="preserve"> </w:t>
      </w:r>
      <w:r>
        <w:t xml:space="preserve">In the event of any dispute regarding the services described on this Invoice, both parties agree to submit the matter to the Abu Dhabi Courts of First Instance for resolution, in accordance with the jurisdictional clause of the governing contract.</w:t>
      </w:r>
    </w:p>
    <w:bookmarkEnd w:id="23"/>
    <w:p>
      <w:pPr>
        <w:pStyle w:val="BodyText"/>
      </w:pPr>
      <w:r>
        <w:rPr>
          <w:bCs/>
          <w:b/>
        </w:rPr>
        <w:t xml:space="preserve">Authorized Signatory:</w:t>
      </w:r>
    </w:p>
    <w:p>
      <w:pPr>
        <w:pStyle w:val="BodyText"/>
      </w:pPr>
      <w:r>
        <w:t xml:space="preserve">Col. Khalid bin Rashid Al Mansoori — Military Officer, Strategic Defense Consultant</w:t>
      </w:r>
    </w:p>
    <w:p>
      <w:pPr>
        <w:pStyle w:val="BodyText"/>
      </w:pPr>
      <w:r>
        <w:t xml:space="preserve">Al Mansoori Military Advisory Group LLC — Abu Dhabi, United Arab Emirates</w:t>
      </w:r>
    </w:p>
    <w:p>
      <w:pPr>
        <w:pStyle w:val="BodyText"/>
      </w:pPr>
      <w:r>
        <w:t xml:space="preserve">This Invoice is a legally binding financial document issued under the commercial laws of the United Arab Emirates. It is valid for a period of ninety (90) days from the Date of Issue. Any queries regarding this Invoice should be directed to the billing office at billing@almansoormilitary.ae or by telephone at +971-2-555-0147, Monday through Friday, 08:00–16:30 GST.</w:t>
      </w:r>
    </w:p>
    <w:p>
      <w:pPr>
        <w:pStyle w:val="BodyText"/>
      </w:pPr>
      <w:r>
        <w:t xml:space="preserve">© 2025 Al Mansoori Military Advisory Group LLC. All rights reserved. Invoice INV-AD-2025-MO-04782. Printed in Abu Dhabi, United Arab Emirates.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Military Officer Services - United Arab Emirates Abu Dhabi</dc:title>
  <dc:creator/>
  <dc:language>en</dc:language>
  <cp:keywords/>
  <dcterms:created xsi:type="dcterms:W3CDTF">2026-10-10T03:48:46Z</dcterms:created>
  <dcterms:modified xsi:type="dcterms:W3CDTF">2026-10-10T03:48:46Z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