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Invoice</w:t>
      </w:r>
      <w:r>
        <w:t xml:space="preserve"> </w:t>
      </w:r>
      <w:r>
        <w:t xml:space="preserve">-</w:t>
      </w:r>
      <w:r>
        <w:t xml:space="preserve"> </w:t>
      </w:r>
      <w:r>
        <w:t xml:space="preserve">Military</w:t>
      </w:r>
      <w:r>
        <w:t xml:space="preserve"> </w:t>
      </w:r>
      <w:r>
        <w:t xml:space="preserve">Officer</w:t>
      </w:r>
      <w:r>
        <w:t xml:space="preserve"> </w:t>
      </w:r>
      <w:r>
        <w:t xml:space="preserve">Services</w:t>
      </w:r>
      <w:r>
        <w:t xml:space="preserve"> </w:t>
      </w:r>
      <w:r>
        <w:t xml:space="preserve">-</w:t>
      </w:r>
      <w:r>
        <w:t xml:space="preserve"> </w:t>
      </w:r>
      <w:r>
        <w:t xml:space="preserve">United</w:t>
      </w:r>
      <w:r>
        <w:t xml:space="preserve"> </w:t>
      </w:r>
      <w:r>
        <w:t xml:space="preserve">Arab</w:t>
      </w:r>
      <w:r>
        <w:t xml:space="preserve"> </w:t>
      </w:r>
      <w:r>
        <w:t xml:space="preserve">Emirates</w:t>
      </w:r>
      <w:r>
        <w:t xml:space="preserve"> </w:t>
      </w:r>
      <w:r>
        <w:t xml:space="preserve">Dubai</w:t>
      </w:r>
    </w:p>
    <w:p>
      <w:pPr>
        <w:pStyle w:val="FirstParagraph"/>
      </w:pPr>
      <w:r>
        <w:t xml:space="preserve">Invoice</w:t>
      </w:r>
    </w:p>
    <w:p>
      <w:pPr>
        <w:pStyle w:val="BodyText"/>
      </w:pPr>
      <w:r>
        <w:t xml:space="preserve">Military Officer Advisory &amp; Training Services</w:t>
      </w:r>
    </w:p>
    <w:p>
      <w:pPr>
        <w:pStyle w:val="BodyText"/>
      </w:pPr>
      <w:r>
        <w:t xml:space="preserve">United Arab Emirates Dubai</w:t>
      </w:r>
    </w:p>
    <w:p>
      <w:pPr>
        <w:pStyle w:val="BodyText"/>
      </w:pPr>
      <w:r>
        <w:rPr>
          <w:bCs/>
          <w:b/>
        </w:rPr>
        <w:t xml:space="preserve">Invoice Number:</w:t>
      </w:r>
      <w:r>
        <w:t xml:space="preserve"> </w:t>
      </w:r>
      <w:r>
        <w:t xml:space="preserve">INV-2025-04871</w:t>
      </w:r>
    </w:p>
    <w:p>
      <w:pPr>
        <w:pStyle w:val="BodyText"/>
      </w:pPr>
      <w:r>
        <w:rPr>
          <w:bCs/>
          <w:b/>
        </w:rPr>
        <w:t xml:space="preserve">Invoice Date:</w:t>
      </w:r>
      <w:r>
        <w:t xml:space="preserve"> </w:t>
      </w:r>
      <w:r>
        <w:t xml:space="preserve">15 June 2025</w:t>
      </w:r>
    </w:p>
    <w:p>
      <w:pPr>
        <w:pStyle w:val="BodyText"/>
      </w:pPr>
      <w:r>
        <w:rPr>
          <w:bCs/>
          <w:b/>
        </w:rPr>
        <w:t xml:space="preserve">Due Date:</w:t>
      </w:r>
      <w:r>
        <w:t xml:space="preserve"> </w:t>
      </w:r>
      <w:r>
        <w:t xml:space="preserve">30 June 2025</w:t>
      </w:r>
    </w:p>
    <w:p>
      <w:pPr>
        <w:pStyle w:val="BodyText"/>
      </w:pPr>
      <w:r>
        <w:rPr>
          <w:bCs/>
          <w:b/>
        </w:rPr>
        <w:t xml:space="preserve">Service Period:</w:t>
      </w:r>
      <w:r>
        <w:t xml:space="preserve"> </w:t>
      </w:r>
      <w:r>
        <w:t xml:space="preserve">01 May 2025 – 31 May 2025</w:t>
      </w:r>
    </w:p>
    <w:p>
      <w:pPr>
        <w:pStyle w:val="BodyText"/>
      </w:pPr>
      <w:r>
        <w:rPr>
          <w:bCs/>
          <w:b/>
        </w:rPr>
        <w:t xml:space="preserve">Currency:</w:t>
      </w:r>
      <w:r>
        <w:t xml:space="preserve"> </w:t>
      </w:r>
      <w:r>
        <w:t xml:space="preserve">AED (UAE Dirham)</w:t>
      </w:r>
    </w:p>
    <w:bookmarkStart w:id="20" w:name="issued-by-service-provider"/>
    <w:p>
      <w:pPr>
        <w:pStyle w:val="Heading3"/>
      </w:pPr>
      <w:r>
        <w:t xml:space="preserve">Issued By (Service Provider)</w:t>
      </w:r>
    </w:p>
    <w:p>
      <w:pPr>
        <w:pStyle w:val="FirstParagraph"/>
      </w:pPr>
      <w:r>
        <w:rPr>
          <w:bCs/>
          <w:b/>
        </w:rPr>
        <w:t xml:space="preserve">Col. Khalid Al Mansoori</w:t>
      </w:r>
    </w:p>
    <w:p>
      <w:pPr>
        <w:pStyle w:val="BodyText"/>
      </w:pPr>
      <w:r>
        <w:t xml:space="preserve">Military Officer – Senior Defence Consultant</w:t>
      </w:r>
    </w:p>
    <w:p>
      <w:pPr>
        <w:pStyle w:val="BodyText"/>
      </w:pPr>
      <w:r>
        <w:t xml:space="preserve">Al Mansoori Defence Advisory LLC</w:t>
      </w:r>
    </w:p>
    <w:p>
      <w:pPr>
        <w:pStyle w:val="BodyText"/>
      </w:pPr>
      <w:r>
        <w:t xml:space="preserve">Office 1204, Level 12, Burj Khalifa</w:t>
      </w:r>
    </w:p>
    <w:p>
      <w:pPr>
        <w:pStyle w:val="BodyText"/>
      </w:pPr>
      <w:r>
        <w:t xml:space="preserve">Downtown Dubai, United Arab Emirates Dubai</w:t>
      </w:r>
    </w:p>
    <w:p>
      <w:pPr>
        <w:pStyle w:val="BodyText"/>
      </w:pPr>
      <w:r>
        <w:t xml:space="preserve">Tel: +971 4 555 0192</w:t>
      </w:r>
    </w:p>
    <w:p>
      <w:pPr>
        <w:pStyle w:val="BodyText"/>
      </w:pPr>
      <w:r>
        <w:t xml:space="preserve">Email: k.mansoori@al-mansoori-defence.ae</w:t>
      </w:r>
    </w:p>
    <w:p>
      <w:pPr>
        <w:pStyle w:val="BodyText"/>
      </w:pPr>
      <w:r>
        <w:t xml:space="preserve">TRN: 100234567800003</w:t>
      </w:r>
    </w:p>
    <w:bookmarkEnd w:id="20"/>
    <w:bookmarkStart w:id="21" w:name="billed-to-client"/>
    <w:p>
      <w:pPr>
        <w:pStyle w:val="Heading3"/>
      </w:pPr>
      <w:r>
        <w:t xml:space="preserve">Billed To (Client)</w:t>
      </w:r>
    </w:p>
    <w:p>
      <w:pPr>
        <w:pStyle w:val="FirstParagraph"/>
      </w:pPr>
      <w:r>
        <w:rPr>
          <w:bCs/>
          <w:b/>
        </w:rPr>
        <w:t xml:space="preserve">Emirates Strategic Logistics Group FZ-LLC</w:t>
      </w:r>
    </w:p>
    <w:p>
      <w:pPr>
        <w:pStyle w:val="BodyText"/>
      </w:pPr>
      <w:r>
        <w:t xml:space="preserve">Attn: Mr. Ahmed Al Rashidi, Procurement Director</w:t>
      </w:r>
    </w:p>
    <w:p>
      <w:pPr>
        <w:pStyle w:val="BodyText"/>
      </w:pPr>
      <w:r>
        <w:t xml:space="preserve">Plot 47, Jebel Ali Free Zone</w:t>
      </w:r>
    </w:p>
    <w:p>
      <w:pPr>
        <w:pStyle w:val="BodyText"/>
      </w:pPr>
      <w:r>
        <w:t xml:space="preserve">Dubai, United Arab Emirates Dubai</w:t>
      </w:r>
    </w:p>
    <w:p>
      <w:pPr>
        <w:pStyle w:val="BodyText"/>
      </w:pPr>
      <w:r>
        <w:t xml:space="preserve">Tel: +971 4 888 3321</w:t>
      </w:r>
    </w:p>
    <w:p>
      <w:pPr>
        <w:pStyle w:val="BodyText"/>
      </w:pPr>
      <w:r>
        <w:t xml:space="preserve">Email: procurement@eslg.ae</w:t>
      </w:r>
    </w:p>
    <w:p>
      <w:pPr>
        <w:pStyle w:val="BodyText"/>
      </w:pPr>
      <w:r>
        <w:t xml:space="preserve">TRN: 100987654300003</w:t>
      </w:r>
    </w:p>
    <w:bookmarkEnd w:id="21"/>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w:t>
            </w:r>
          </w:p>
        </w:tc>
        <w:tc>
          <w:tcPr/>
          <w:p>
            <w:pPr>
              <w:pStyle w:val="Compact"/>
              <w:jc w:val="left"/>
            </w:pPr>
            <w:r>
              <w:t xml:space="preserve">Description of Services</w:t>
            </w:r>
          </w:p>
        </w:tc>
        <w:tc>
          <w:tcPr/>
          <w:p>
            <w:pPr>
              <w:pStyle w:val="Compact"/>
              <w:jc w:val="left"/>
            </w:pPr>
            <w:r>
              <w:t xml:space="preserve">Date</w:t>
            </w:r>
          </w:p>
        </w:tc>
        <w:tc>
          <w:tcPr/>
          <w:p>
            <w:pPr>
              <w:pStyle w:val="Compact"/>
              <w:jc w:val="left"/>
            </w:pPr>
            <w:r>
              <w:t xml:space="preserve">Qty</w:t>
            </w:r>
          </w:p>
        </w:tc>
        <w:tc>
          <w:tcPr/>
          <w:p>
            <w:pPr>
              <w:pStyle w:val="Compact"/>
              <w:jc w:val="left"/>
            </w:pPr>
            <w:r>
              <w:t xml:space="preserve">Unit Price (AED)</w:t>
            </w:r>
          </w:p>
        </w:tc>
        <w:tc>
          <w:tcPr/>
          <w:p>
            <w:pPr>
              <w:pStyle w:val="Compact"/>
              <w:jc w:val="left"/>
            </w:pPr>
            <w:r>
              <w:t xml:space="preserve">Amount (AED)</w:t>
            </w:r>
          </w:p>
        </w:tc>
      </w:tr>
      <w:tr>
        <w:tc>
          <w:tcPr/>
          <w:p>
            <w:pPr>
              <w:pStyle w:val="Compact"/>
              <w:jc w:val="left"/>
            </w:pPr>
            <w:r>
              <w:t xml:space="preserve">1</w:t>
            </w:r>
          </w:p>
        </w:tc>
        <w:tc>
          <w:tcPr/>
          <w:p>
            <w:pPr>
              <w:pStyle w:val="Compact"/>
              <w:jc w:val="left"/>
            </w:pPr>
            <w:r>
              <w:t xml:space="preserve">On-site tactical leadership training delivered by a certified Military Officer for 40 senior personnel at the client's Jebel Ali facility. Includes curriculum design, instruction, and post-session evaluation reports.</w:t>
            </w:r>
          </w:p>
        </w:tc>
        <w:tc>
          <w:tcPr/>
          <w:p>
            <w:pPr>
              <w:pStyle w:val="Compact"/>
              <w:jc w:val="left"/>
            </w:pPr>
            <w:r>
              <w:t xml:space="preserve">02 May 2025</w:t>
            </w:r>
          </w:p>
        </w:tc>
        <w:tc>
          <w:tcPr/>
          <w:p>
            <w:pPr>
              <w:pStyle w:val="Compact"/>
              <w:jc w:val="left"/>
            </w:pPr>
            <w:r>
              <w:t xml:space="preserve">5 days</w:t>
            </w:r>
          </w:p>
        </w:tc>
        <w:tc>
          <w:tcPr/>
          <w:p>
            <w:pPr>
              <w:pStyle w:val="Compact"/>
              <w:jc w:val="left"/>
            </w:pPr>
            <w:r>
              <w:t xml:space="preserve">12,500.00</w:t>
            </w:r>
          </w:p>
        </w:tc>
        <w:tc>
          <w:tcPr/>
          <w:p>
            <w:pPr>
              <w:pStyle w:val="Compact"/>
              <w:jc w:val="left"/>
            </w:pPr>
            <w:r>
              <w:t xml:space="preserve">62,500.00</w:t>
            </w:r>
          </w:p>
        </w:tc>
      </w:tr>
      <w:tr>
        <w:tc>
          <w:tcPr/>
          <w:p>
            <w:pPr>
              <w:pStyle w:val="Compact"/>
              <w:jc w:val="left"/>
            </w:pPr>
            <w:r>
              <w:t xml:space="preserve">2</w:t>
            </w:r>
          </w:p>
        </w:tc>
        <w:tc>
          <w:tcPr/>
          <w:p>
            <w:pPr>
              <w:pStyle w:val="Compact"/>
              <w:jc w:val="left"/>
            </w:pPr>
            <w:r>
              <w:t xml:space="preserve">Strategic operational planning consultancy. The Military Officer conducted a comprehensive review of the client's supply-chain security protocols and delivered a 60-page advisory report with actionable recommendations.</w:t>
            </w:r>
          </w:p>
        </w:tc>
        <w:tc>
          <w:tcPr/>
          <w:p>
            <w:pPr>
              <w:pStyle w:val="Compact"/>
              <w:jc w:val="left"/>
            </w:pPr>
            <w:r>
              <w:t xml:space="preserve">09 May 2025</w:t>
            </w:r>
          </w:p>
        </w:tc>
        <w:tc>
          <w:tcPr/>
          <w:p>
            <w:pPr>
              <w:pStyle w:val="Compact"/>
              <w:jc w:val="left"/>
            </w:pPr>
            <w:r>
              <w:t xml:space="preserve">1</w:t>
            </w:r>
          </w:p>
        </w:tc>
        <w:tc>
          <w:tcPr/>
          <w:p>
            <w:pPr>
              <w:pStyle w:val="Compact"/>
              <w:jc w:val="left"/>
            </w:pPr>
            <w:r>
              <w:t xml:space="preserve">35,000.00</w:t>
            </w:r>
          </w:p>
        </w:tc>
        <w:tc>
          <w:tcPr/>
          <w:p>
            <w:pPr>
              <w:pStyle w:val="Compact"/>
              <w:jc w:val="left"/>
            </w:pPr>
            <w:r>
              <w:t xml:space="preserve">35,000.00</w:t>
            </w:r>
          </w:p>
        </w:tc>
      </w:tr>
      <w:tr>
        <w:tc>
          <w:tcPr/>
          <w:p>
            <w:pPr>
              <w:pStyle w:val="Compact"/>
              <w:jc w:val="left"/>
            </w:pPr>
            <w:r>
              <w:t xml:space="preserve">3</w:t>
            </w:r>
          </w:p>
        </w:tc>
        <w:tc>
          <w:tcPr/>
          <w:p>
            <w:pPr>
              <w:pStyle w:val="Compact"/>
              <w:jc w:val="left"/>
            </w:pPr>
            <w:r>
              <w:t xml:space="preserve">Crisis management tabletop exercise facilitation. The Military Officer led a full-day simulation involving 25 decision-makers, covering evacuation procedures, communication protocols, and inter-agency coordination within the United Arab Emirates Dubai metropolitan area.</w:t>
            </w:r>
          </w:p>
        </w:tc>
        <w:tc>
          <w:tcPr/>
          <w:p>
            <w:pPr>
              <w:pStyle w:val="Compact"/>
              <w:jc w:val="left"/>
            </w:pPr>
            <w:r>
              <w:t xml:space="preserve">16 May 2025</w:t>
            </w:r>
          </w:p>
        </w:tc>
        <w:tc>
          <w:tcPr/>
          <w:p>
            <w:pPr>
              <w:pStyle w:val="Compact"/>
              <w:jc w:val="left"/>
            </w:pPr>
            <w:r>
              <w:t xml:space="preserve">1 day</w:t>
            </w:r>
          </w:p>
        </w:tc>
        <w:tc>
          <w:tcPr/>
          <w:p>
            <w:pPr>
              <w:pStyle w:val="Compact"/>
              <w:jc w:val="left"/>
            </w:pPr>
            <w:r>
              <w:t xml:space="preserve">18,750.00</w:t>
            </w:r>
          </w:p>
        </w:tc>
        <w:tc>
          <w:tcPr/>
          <w:p>
            <w:pPr>
              <w:pStyle w:val="Compact"/>
              <w:jc w:val="left"/>
            </w:pPr>
            <w:r>
              <w:t xml:space="preserve">18,750.00</w:t>
            </w:r>
          </w:p>
        </w:tc>
      </w:tr>
      <w:tr>
        <w:tc>
          <w:tcPr/>
          <w:p>
            <w:pPr>
              <w:pStyle w:val="Compact"/>
              <w:jc w:val="left"/>
            </w:pPr>
            <w:r>
              <w:t xml:space="preserve">4</w:t>
            </w:r>
          </w:p>
        </w:tc>
        <w:tc>
          <w:tcPr/>
          <w:p>
            <w:pPr>
              <w:pStyle w:val="Compact"/>
              <w:jc w:val="left"/>
            </w:pPr>
            <w:r>
              <w:t xml:space="preserve">Executive briefing and presentation to the Board of Directors on regional security posture and force-readiness benchmarks. Delivered by the Military Officer at the client's headquarters in Dubai, United Arab Emirates Dubai.</w:t>
            </w:r>
          </w:p>
        </w:tc>
        <w:tc>
          <w:tcPr/>
          <w:p>
            <w:pPr>
              <w:pStyle w:val="Compact"/>
              <w:jc w:val="left"/>
            </w:pPr>
            <w:r>
              <w:t xml:space="preserve">22 May 2025</w:t>
            </w:r>
          </w:p>
        </w:tc>
        <w:tc>
          <w:tcPr/>
          <w:p>
            <w:pPr>
              <w:pStyle w:val="Compact"/>
              <w:jc w:val="left"/>
            </w:pPr>
            <w:r>
              <w:t xml:space="preserve">1</w:t>
            </w:r>
          </w:p>
        </w:tc>
        <w:tc>
          <w:tcPr/>
          <w:p>
            <w:pPr>
              <w:pStyle w:val="Compact"/>
              <w:jc w:val="left"/>
            </w:pPr>
            <w:r>
              <w:t xml:space="preserve">15,000.00</w:t>
            </w:r>
          </w:p>
        </w:tc>
        <w:tc>
          <w:tcPr/>
          <w:p>
            <w:pPr>
              <w:pStyle w:val="Compact"/>
              <w:jc w:val="left"/>
            </w:pPr>
            <w:r>
              <w:t xml:space="preserve">15,000.00</w:t>
            </w:r>
          </w:p>
        </w:tc>
      </w:tr>
      <w:tr>
        <w:tc>
          <w:tcPr/>
          <w:p>
            <w:pPr>
              <w:pStyle w:val="Compact"/>
              <w:jc w:val="left"/>
            </w:pPr>
            <w:r>
              <w:t xml:space="preserve">5</w:t>
            </w:r>
          </w:p>
        </w:tc>
        <w:tc>
          <w:tcPr/>
          <w:p>
            <w:pPr>
              <w:pStyle w:val="Compact"/>
              <w:jc w:val="left"/>
            </w:pPr>
            <w:r>
              <w:t xml:space="preserve">Follow-up mentoring sessions (4 hours total) for the client's newly appointed operations managers, provided by the Military Officer to ensure sustained implementation of training outcomes.</w:t>
            </w:r>
          </w:p>
        </w:tc>
        <w:tc>
          <w:tcPr/>
          <w:p>
            <w:pPr>
              <w:pStyle w:val="Compact"/>
              <w:jc w:val="left"/>
            </w:pPr>
            <w:r>
              <w:t xml:space="preserve">28 May 2025</w:t>
            </w:r>
          </w:p>
        </w:tc>
        <w:tc>
          <w:tcPr/>
          <w:p>
            <w:pPr>
              <w:pStyle w:val="Compact"/>
              <w:jc w:val="left"/>
            </w:pPr>
            <w:r>
              <w:t xml:space="preserve">4 hrs</w:t>
            </w:r>
          </w:p>
        </w:tc>
        <w:tc>
          <w:tcPr/>
          <w:p>
            <w:pPr>
              <w:pStyle w:val="Compact"/>
              <w:jc w:val="left"/>
            </w:pPr>
            <w:r>
              <w:t xml:space="preserve">2,200.00</w:t>
            </w:r>
          </w:p>
        </w:tc>
        <w:tc>
          <w:tcPr/>
          <w:p>
            <w:pPr>
              <w:pStyle w:val="Compact"/>
              <w:jc w:val="left"/>
            </w:pPr>
            <w:r>
              <w:t xml:space="preserve">8,800.00</w:t>
            </w:r>
          </w:p>
        </w:tc>
      </w:tr>
    </w:tbl>
    <w:tbl>
      <w:tblPr>
        <w:tblStyle w:val="Table"/>
        <w:tblW w:type="auto" w:w="0"/>
        <w:tblLook w:firstRow="0" w:lastRow="0" w:firstColumn="0" w:lastColumn="0" w:noHBand="0" w:noVBand="0" w:val="0000"/>
      </w:tblPr>
      <w:tblGrid>
        <w:gridCol w:w="3960"/>
        <w:gridCol w:w="3960"/>
      </w:tblGrid>
      <w:tr>
        <w:tc>
          <w:tcPr/>
          <w:p>
            <w:pPr>
              <w:pStyle w:val="Compact"/>
              <w:jc w:val="left"/>
            </w:pPr>
            <w:r>
              <w:t xml:space="preserve">Subtotal</w:t>
            </w:r>
          </w:p>
        </w:tc>
        <w:tc>
          <w:tcPr/>
          <w:p>
            <w:pPr>
              <w:pStyle w:val="Compact"/>
              <w:jc w:val="left"/>
            </w:pPr>
            <w:r>
              <w:t xml:space="preserve">140,050.00 AED</w:t>
            </w:r>
          </w:p>
        </w:tc>
      </w:tr>
      <w:tr>
        <w:tc>
          <w:tcPr/>
          <w:p>
            <w:pPr>
              <w:pStyle w:val="Compact"/>
              <w:jc w:val="left"/>
            </w:pPr>
            <w:r>
              <w:t xml:space="preserve">VAT @ 5% (UAE Federal Tax Authority)</w:t>
            </w:r>
          </w:p>
        </w:tc>
        <w:tc>
          <w:tcPr/>
          <w:p>
            <w:pPr>
              <w:pStyle w:val="Compact"/>
              <w:jc w:val="left"/>
            </w:pPr>
            <w:r>
              <w:t xml:space="preserve">7,002.50 AED</w:t>
            </w:r>
          </w:p>
        </w:tc>
      </w:tr>
      <w:tr>
        <w:tc>
          <w:tcPr/>
          <w:p>
            <w:pPr>
              <w:pStyle w:val="Compact"/>
              <w:jc w:val="left"/>
            </w:pPr>
            <w:r>
              <w:t xml:space="preserve">Discount (Early Payment – 2%)</w:t>
            </w:r>
          </w:p>
        </w:tc>
        <w:tc>
          <w:tcPr/>
          <w:p>
            <w:pPr>
              <w:pStyle w:val="Compact"/>
              <w:jc w:val="left"/>
            </w:pPr>
            <w:r>
              <w:t xml:space="preserve">(2,801.00) AED</w:t>
            </w:r>
          </w:p>
        </w:tc>
      </w:tr>
      <w:tr>
        <w:tc>
          <w:tcPr/>
          <w:p>
            <w:pPr>
              <w:pStyle w:val="Compact"/>
              <w:jc w:val="left"/>
            </w:pPr>
            <w:r>
              <w:t xml:space="preserve">Grand Total Due</w:t>
            </w:r>
          </w:p>
        </w:tc>
        <w:tc>
          <w:tcPr/>
          <w:p>
            <w:pPr>
              <w:pStyle w:val="Compact"/>
              <w:jc w:val="left"/>
            </w:pPr>
            <w:r>
              <w:t xml:space="preserve">144,251.50 AED</w:t>
            </w:r>
          </w:p>
        </w:tc>
      </w:tr>
    </w:tbl>
    <w:bookmarkStart w:id="22" w:name="payment-instructions"/>
    <w:p>
      <w:pPr>
        <w:pStyle w:val="Heading3"/>
      </w:pPr>
      <w:r>
        <w:t xml:space="preserve">Payment Instructions</w:t>
      </w:r>
    </w:p>
    <w:p>
      <w:pPr>
        <w:pStyle w:val="FirstParagraph"/>
      </w:pPr>
      <w:r>
        <w:t xml:space="preserve">This Invoice must be settled in full by the due date stated above. Payments are to be made via bank transfer to the following account:</w:t>
      </w:r>
    </w:p>
    <w:p>
      <w:pPr>
        <w:pStyle w:val="BodyText"/>
      </w:pPr>
      <w:r>
        <w:rPr>
          <w:bCs/>
          <w:b/>
        </w:rPr>
        <w:t xml:space="preserve">Bank:</w:t>
      </w:r>
      <w:r>
        <w:t xml:space="preserve"> </w:t>
      </w:r>
      <w:r>
        <w:t xml:space="preserve">Emirates NBD, Dubai Branch, United Arab Emirates Dubai</w:t>
      </w:r>
    </w:p>
    <w:p>
      <w:pPr>
        <w:pStyle w:val="BodyText"/>
      </w:pPr>
      <w:r>
        <w:rPr>
          <w:bCs/>
          <w:b/>
        </w:rPr>
        <w:t xml:space="preserve">Account Name:</w:t>
      </w:r>
      <w:r>
        <w:t xml:space="preserve"> </w:t>
      </w:r>
      <w:r>
        <w:t xml:space="preserve">Al Mansoori Defence Advisory LLC</w:t>
      </w:r>
    </w:p>
    <w:p>
      <w:pPr>
        <w:pStyle w:val="BodyText"/>
      </w:pPr>
      <w:r>
        <w:rPr>
          <w:bCs/>
          <w:b/>
        </w:rPr>
        <w:t xml:space="preserve">IBAN:</w:t>
      </w:r>
      <w:r>
        <w:t xml:space="preserve"> </w:t>
      </w:r>
      <w:r>
        <w:t xml:space="preserve">AE07 0240 0000 0000 1234 5678 9</w:t>
      </w:r>
    </w:p>
    <w:p>
      <w:pPr>
        <w:pStyle w:val="BodyText"/>
      </w:pPr>
      <w:r>
        <w:rPr>
          <w:bCs/>
          <w:b/>
        </w:rPr>
        <w:t xml:space="preserve">SWIFT/BIC:</w:t>
      </w:r>
      <w:r>
        <w:t xml:space="preserve"> </w:t>
      </w:r>
      <w:r>
        <w:t xml:space="preserve">EMBAEADJ</w:t>
      </w:r>
    </w:p>
    <w:p>
      <w:pPr>
        <w:pStyle w:val="BodyText"/>
      </w:pPr>
      <w:r>
        <w:rPr>
          <w:bCs/>
          <w:b/>
        </w:rPr>
        <w:t xml:space="preserve">Reference:</w:t>
      </w:r>
      <w:r>
        <w:t xml:space="preserve"> </w:t>
      </w:r>
      <w:r>
        <w:t xml:space="preserve">Please quote Invoice Number INV-2025-04871 in all correspondence.</w:t>
      </w:r>
    </w:p>
    <w:bookmarkEnd w:id="22"/>
    <w:bookmarkStart w:id="23" w:name="terms-conditions-notes"/>
    <w:p>
      <w:pPr>
        <w:pStyle w:val="Heading3"/>
      </w:pPr>
      <w:r>
        <w:t xml:space="preserve">Terms, Conditions &amp; Notes</w:t>
      </w:r>
    </w:p>
    <w:p>
      <w:pPr>
        <w:pStyle w:val="FirstParagraph"/>
      </w:pPr>
      <w:r>
        <w:t xml:space="preserve">1. This Invoice is issued in accordance with the Federal Tax Authority regulations of the United Arab Emirates Dubai and is valid for a period of 90 days from the date of issue.</w:t>
      </w:r>
    </w:p>
    <w:p>
      <w:pPr>
        <w:pStyle w:val="BodyText"/>
      </w:pPr>
      <w:r>
        <w:t xml:space="preserve">2. All services rendered by the Military Officer are subject to the Master Service Agreement (MSA) dated 12 January 2025, reference number MSA-2025-0034, executed between both parties in Dubai, United Arab Emirates Dubai.</w:t>
      </w:r>
    </w:p>
    <w:p>
      <w:pPr>
        <w:pStyle w:val="BodyText"/>
      </w:pPr>
      <w:r>
        <w:t xml:space="preserve">3. Late payments shall attract a penalty of 1.5% per month on the outstanding balance, in compliance with UAE commercial law.</w:t>
      </w:r>
    </w:p>
    <w:p>
      <w:pPr>
        <w:pStyle w:val="BodyText"/>
      </w:pPr>
      <w:r>
        <w:t xml:space="preserve">4. The Military Officer reserves the right to withhold final deliverables (including the full advisory report and exercise after-action review) until full payment of this Invoice is confirmed.</w:t>
      </w:r>
    </w:p>
    <w:p>
      <w:pPr>
        <w:pStyle w:val="BodyText"/>
      </w:pPr>
      <w:r>
        <w:t xml:space="preserve">5. All training materials, reports, and intellectual property produced during the engagement remain the exclusive property of the Military Officer and Al Mansoori Defence Advisory LLC unless otherwise stated in the MSA.</w:t>
      </w:r>
    </w:p>
    <w:p>
      <w:pPr>
        <w:pStyle w:val="BodyText"/>
      </w:pPr>
      <w:r>
        <w:t xml:space="preserve">6. This Invoice is non-negotiable and non-transferable. Any disputes arising from this Invoice shall be governed by the laws of the United Arab Emirates Dubai and adjudicated by the Dubai Courts.</w:t>
      </w:r>
    </w:p>
    <w:p>
      <w:pPr>
        <w:pStyle w:val="BodyText"/>
      </w:pPr>
      <w:r>
        <w:t xml:space="preserve">7. For queries regarding this Invoice, please contact the undersigned Military Officer directly or via the office address listed above.</w:t>
      </w:r>
    </w:p>
    <w:bookmarkEnd w:id="23"/>
    <w:p>
      <w:pPr>
        <w:pStyle w:val="BodyText"/>
      </w:pPr>
      <w:r>
        <w:rPr>
          <w:bCs/>
          <w:b/>
        </w:rPr>
        <w:t xml:space="preserve">Al Mansoori Defence Advisory LLC</w:t>
      </w:r>
      <w:r>
        <w:t xml:space="preserve"> </w:t>
      </w:r>
      <w:r>
        <w:t xml:space="preserve">| Office 1204, Level 12, Burj Khalifa, Downtown Dubai, United Arab Emirates Dubai</w:t>
      </w:r>
    </w:p>
    <w:p>
      <w:pPr>
        <w:pStyle w:val="BodyText"/>
      </w:pPr>
      <w:r>
        <w:t xml:space="preserve">License No. 100456789 | TRN: 100234567800003 | Registered in the Dubai Department of Economy and Tourism</w:t>
      </w:r>
    </w:p>
    <w:p>
      <w:pPr>
        <w:pStyle w:val="BodyText"/>
      </w:pPr>
      <w:r>
        <w:t xml:space="preserve">This is a computer-generated Invoice and does not require a physical signature. Thank you for your business.</w:t>
      </w:r>
    </w:p>
    <w:p>
      <w:pPr>
        <w:pStyle w:val="BodyText"/>
      </w:pPr>
      <w:r>
        <w:t xml:space="preserve">© 2025 Al Mansoori Defence Advisory LLC. All rights reserved. Invoice INV-2025-04871.</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Invoice - Military Officer Services - United Arab Emirates Dubai</dc:title>
  <dc:creator/>
  <dc:language>en</dc:language>
  <cp:keywords/>
  <dcterms:created xsi:type="dcterms:W3CDTF">2026-10-10T03:54:33Z</dcterms:created>
  <dcterms:modified xsi:type="dcterms:W3CDTF">2026-10-10T03:54:33Z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