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Strategic</w:t>
      </w:r>
      <w:r>
        <w:t xml:space="preserve"> </w:t>
      </w:r>
      <w:r>
        <w:t xml:space="preserve">Consulting</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meridian-defense-advisory-group"/>
    <w:p>
      <w:pPr>
        <w:pStyle w:val="Heading1"/>
      </w:pPr>
      <w:r>
        <w:t xml:space="preserve">Meridian Defense Advisory Group</w:t>
      </w:r>
    </w:p>
    <w:p>
      <w:pPr>
        <w:pStyle w:val="FirstParagraph"/>
      </w:pPr>
      <w:r>
        <w:t xml:space="preserve">4250 Wilshire Boulevard, Suite 1800</w:t>
      </w:r>
    </w:p>
    <w:p>
      <w:pPr>
        <w:pStyle w:val="BodyText"/>
      </w:pPr>
      <w:r>
        <w:t xml:space="preserve">Los Angeles, California 90010</w:t>
      </w:r>
    </w:p>
    <w:p>
      <w:pPr>
        <w:pStyle w:val="BodyText"/>
      </w:pPr>
      <w:r>
        <w:t xml:space="preserve">United States of America</w:t>
      </w:r>
    </w:p>
    <w:p>
      <w:pPr>
        <w:pStyle w:val="BodyText"/>
      </w:pPr>
      <w:r>
        <w:t xml:space="preserve">Phone: (213) 555-0147 | Email: billing@meridiandefense.com</w:t>
      </w:r>
    </w:p>
    <w:p>
      <w:pPr>
        <w:pStyle w:val="BodyText"/>
      </w:pPr>
      <w:r>
        <w:t xml:space="preserve">Tax ID (EIN): 84-2917365</w:t>
      </w:r>
    </w:p>
    <w:p>
      <w:pPr>
        <w:pStyle w:val="BodyText"/>
      </w:pPr>
      <w:r>
        <w:t xml:space="preserve">Licensed Military Officer Consultant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MDAG-2025-0487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May 1 – May 31, 2025</w:t>
      </w:r>
    </w:p>
    <w:bookmarkEnd w:id="21"/>
    <w:bookmarkStart w:id="22" w:name="billed-to"/>
    <w:p>
      <w:pPr>
        <w:pStyle w:val="Heading3"/>
      </w:pPr>
      <w:r>
        <w:t xml:space="preserve">Billed To</w:t>
      </w:r>
    </w:p>
    <w:p>
      <w:pPr>
        <w:pStyle w:val="FirstParagraph"/>
      </w:pPr>
      <w:r>
        <w:rPr>
          <w:bCs/>
          <w:b/>
        </w:rPr>
        <w:t xml:space="preserve">Pacific Coast Logistics &amp; Security Corp.</w:t>
      </w:r>
    </w:p>
    <w:p>
      <w:pPr>
        <w:pStyle w:val="BodyText"/>
      </w:pPr>
      <w:r>
        <w:t xml:space="preserve">Attn: Mr. David R. Thornton, Chief Operations Officer</w:t>
      </w:r>
    </w:p>
    <w:p>
      <w:pPr>
        <w:pStyle w:val="BodyText"/>
      </w:pPr>
      <w:r>
        <w:t xml:space="preserve">1875 Century Park East, Floor 22</w:t>
      </w:r>
    </w:p>
    <w:p>
      <w:pPr>
        <w:pStyle w:val="BodyText"/>
      </w:pPr>
      <w:r>
        <w:t xml:space="preserve">Los Angeles, California 90067</w:t>
      </w:r>
    </w:p>
    <w:p>
      <w:pPr>
        <w:pStyle w:val="BodyText"/>
      </w:pPr>
      <w:r>
        <w:t xml:space="preserve">United States of America</w:t>
      </w:r>
    </w:p>
    <w:p>
      <w:pPr>
        <w:pStyle w:val="BodyText"/>
      </w:pPr>
      <w:r>
        <w:t xml:space="preserve">Client Reference: PCLS-2025-Q2-0034</w:t>
      </w:r>
    </w:p>
    <w:bookmarkEnd w:id="22"/>
    <w:bookmarkStart w:id="23" w:name="service-provider"/>
    <w:p>
      <w:pPr>
        <w:pStyle w:val="Heading3"/>
      </w:pPr>
      <w:r>
        <w:t xml:space="preserve">Service Provider</w:t>
      </w:r>
    </w:p>
    <w:p>
      <w:pPr>
        <w:pStyle w:val="FirstParagraph"/>
      </w:pPr>
      <w:r>
        <w:rPr>
          <w:bCs/>
          <w:b/>
        </w:rPr>
        <w:t xml:space="preserve">Colonel James A. Whitfield (Ret.)</w:t>
      </w:r>
    </w:p>
    <w:p>
      <w:pPr>
        <w:pStyle w:val="BodyText"/>
      </w:pPr>
      <w:r>
        <w:t xml:space="preserve">Senior Military Officer &amp; Strategic Advisor</w:t>
      </w:r>
    </w:p>
    <w:p>
      <w:pPr>
        <w:pStyle w:val="BodyText"/>
      </w:pPr>
      <w:r>
        <w:t xml:space="preserve">U.S. Army, Retired – 28 Years of Service</w:t>
      </w:r>
    </w:p>
    <w:p>
      <w:pPr>
        <w:pStyle w:val="BodyText"/>
      </w:pPr>
      <w:r>
        <w:t xml:space="preserve">Meridian Defense Advisory Group</w:t>
      </w:r>
    </w:p>
    <w:p>
      <w:pPr>
        <w:pStyle w:val="BodyText"/>
      </w:pPr>
      <w:r>
        <w:t xml:space="preserve">Los Angeles, California 90010</w:t>
      </w:r>
    </w:p>
    <w:p>
      <w:pPr>
        <w:pStyle w:val="BodyText"/>
      </w:pPr>
      <w:r>
        <w:t xml:space="preserve">United States of America</w:t>
      </w:r>
    </w:p>
    <w:p>
      <w:pPr>
        <w:pStyle w:val="BodyText"/>
      </w:pPr>
      <w:r>
        <w:t xml:space="preserve">CA Contractor License: C-38-1047291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Military Officer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Security Assessment and Threat Analysis conducted by a retired U.S. Military Officer at the client's Los Angeles headquarters facility. Includes comprehensive review of perimeter security protocols, access control systems, and emergency response planning in compliance with United States Department of Defense guidelines.</w:t>
            </w:r>
          </w:p>
        </w:tc>
        <w:tc>
          <w:tcPr/>
          <w:p>
            <w:pPr>
              <w:pStyle w:val="Compact"/>
              <w:jc w:val="left"/>
            </w:pPr>
            <w:r>
              <w:t xml:space="preserve">May 2–3, 2025</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Executive Leadership and Chain-of-Command Training Workshop delivered by a senior Military Officer to the client's management team of 45 personnel. Curriculum covers decision-making under pressure, operational security awareness, and coordinated response to security incidents within the Los Angeles metropolitan area.</w:t>
            </w:r>
          </w:p>
        </w:tc>
        <w:tc>
          <w:tcPr/>
          <w:p>
            <w:pPr>
              <w:pStyle w:val="Compact"/>
              <w:jc w:val="left"/>
            </w:pPr>
            <w:r>
              <w:t xml:space="preserve">May 8, 2025</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3</w:t>
            </w:r>
          </w:p>
        </w:tc>
        <w:tc>
          <w:tcPr/>
          <w:p>
            <w:pPr>
              <w:pStyle w:val="Compact"/>
              <w:jc w:val="left"/>
            </w:pPr>
            <w:r>
              <w:t xml:space="preserve">Development of a 90-page Contingency Operations Plan tailored to the client's multi-site operations across Southern California. The Military Officer prepared detailed evacuation routes, communication hierarchies, and coordination protocols with local Los Angeles law enforcement and emergency management agencies.</w:t>
            </w:r>
          </w:p>
        </w:tc>
        <w:tc>
          <w:tcPr/>
          <w:p>
            <w:pPr>
              <w:pStyle w:val="Compact"/>
              <w:jc w:val="left"/>
            </w:pPr>
            <w:r>
              <w:t xml:space="preserve">May 12–16, 2025</w:t>
            </w:r>
          </w:p>
        </w:tc>
        <w:tc>
          <w:tcPr/>
          <w:p>
            <w:pPr>
              <w:pStyle w:val="Compact"/>
              <w:jc w:val="left"/>
            </w:pPr>
            <w:r>
              <w:t xml:space="preserve">32.0</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On-site Security Personnel Supervision and Tactical Briefing. The Military Officer conducted daily tactical briefings, supervised the deployment of 12 contracted security officers, and performed after-action reviews of simulated intrusion scenarios at the client's distribution center in the Los Angeles industrial corridor.</w:t>
            </w:r>
          </w:p>
        </w:tc>
        <w:tc>
          <w:tcPr/>
          <w:p>
            <w:pPr>
              <w:pStyle w:val="Compact"/>
              <w:jc w:val="left"/>
            </w:pPr>
            <w:r>
              <w:t xml:space="preserve">May 19–23, 2025</w:t>
            </w:r>
          </w:p>
        </w:tc>
        <w:tc>
          <w:tcPr/>
          <w:p>
            <w:pPr>
              <w:pStyle w:val="Compact"/>
              <w:jc w:val="left"/>
            </w:pPr>
            <w:r>
              <w:t xml:space="preserve">40.0</w:t>
            </w:r>
          </w:p>
        </w:tc>
        <w:tc>
          <w:tcPr/>
          <w:p>
            <w:pPr>
              <w:pStyle w:val="Compact"/>
              <w:jc w:val="left"/>
            </w:pPr>
            <w:r>
              <w:t xml:space="preserve">$260.00</w:t>
            </w:r>
          </w:p>
        </w:tc>
        <w:tc>
          <w:tcPr/>
          <w:p>
            <w:pPr>
              <w:pStyle w:val="Compact"/>
              <w:jc w:val="left"/>
            </w:pPr>
            <w:r>
              <w:t xml:space="preserve">$10,400.00</w:t>
            </w:r>
          </w:p>
        </w:tc>
      </w:tr>
      <w:tr>
        <w:tc>
          <w:tcPr/>
          <w:p>
            <w:pPr>
              <w:pStyle w:val="Compact"/>
              <w:jc w:val="left"/>
            </w:pPr>
            <w:r>
              <w:t xml:space="preserve">5</w:t>
            </w:r>
          </w:p>
        </w:tc>
        <w:tc>
          <w:tcPr/>
          <w:p>
            <w:pPr>
              <w:pStyle w:val="Compact"/>
              <w:jc w:val="left"/>
            </w:pPr>
            <w:r>
              <w:t xml:space="preserve">Regulatory Compliance Audit and Reporting. The Military Officer reviewed the client's existing security documentation against United States federal regulations, California state security statutes, and Los Angeles municipal codes. A 35-page compliance report with corrective action recommendations was delivered to the client's legal department.</w:t>
            </w:r>
          </w:p>
        </w:tc>
        <w:tc>
          <w:tcPr/>
          <w:p>
            <w:pPr>
              <w:pStyle w:val="Compact"/>
              <w:jc w:val="left"/>
            </w:pPr>
            <w:r>
              <w:t xml:space="preserve">May 27–28, 2025</w:t>
            </w:r>
          </w:p>
        </w:tc>
        <w:tc>
          <w:tcPr/>
          <w:p>
            <w:pPr>
              <w:pStyle w:val="Compact"/>
              <w:jc w:val="left"/>
            </w:pPr>
            <w:r>
              <w:t xml:space="preserve">14.0</w:t>
            </w:r>
          </w:p>
        </w:tc>
        <w:tc>
          <w:tcPr/>
          <w:p>
            <w:pPr>
              <w:pStyle w:val="Compact"/>
              <w:jc w:val="left"/>
            </w:pPr>
            <w:r>
              <w:t xml:space="preserve">$295.00</w:t>
            </w:r>
          </w:p>
        </w:tc>
        <w:tc>
          <w:tcPr/>
          <w:p>
            <w:pPr>
              <w:pStyle w:val="Compact"/>
              <w:jc w:val="left"/>
            </w:pPr>
            <w:r>
              <w:t xml:space="preserve">$4,130.00</w:t>
            </w:r>
          </w:p>
        </w:tc>
      </w:tr>
      <w:tr>
        <w:tc>
          <w:tcPr/>
          <w:p>
            <w:pPr>
              <w:pStyle w:val="Compact"/>
              <w:jc w:val="left"/>
            </w:pPr>
            <w:r>
              <w:t xml:space="preserve">6</w:t>
            </w:r>
          </w:p>
        </w:tc>
        <w:tc>
          <w:tcPr/>
          <w:p>
            <w:pPr>
              <w:pStyle w:val="Compact"/>
              <w:jc w:val="left"/>
            </w:pPr>
            <w:r>
              <w:t xml:space="preserve">Travel and Logistics Expenses. Mileage for travel between the Military Officer's residence in the San Fernando Valley and multiple client sites throughout Los Angeles County. Includes parking fees at the Century Park East office and the Harbor Gateway distribution facility. All travel conducted within the United States, State of California.</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$31,137.50</w:t>
            </w:r>
          </w:p>
        </w:tc>
      </w:tr>
      <w:tr>
        <w:tc>
          <w:tcPr/>
          <w:p>
            <w:pPr>
              <w:pStyle w:val="Compact"/>
              <w:jc w:val="left"/>
            </w:pPr>
            <w:r>
              <w:t xml:space="preserve">Applicable Discount (5% – Long-term Client)</w:t>
            </w:r>
          </w:p>
        </w:tc>
        <w:tc>
          <w:tcPr/>
          <w:p>
            <w:pPr>
              <w:pStyle w:val="Compact"/>
              <w:jc w:val="left"/>
            </w:pPr>
            <w:r>
              <w:t xml:space="preserve">-$1,556.88</w:t>
            </w:r>
          </w:p>
        </w:tc>
      </w:tr>
      <w:tr>
        <w:tc>
          <w:tcPr/>
          <w:p>
            <w:pPr>
              <w:pStyle w:val="Compact"/>
              <w:jc w:val="left"/>
            </w:pPr>
            <w:r>
              <w:t xml:space="preserve">California State Sales Tax (7.25%)</w:t>
            </w:r>
          </w:p>
        </w:tc>
        <w:tc>
          <w:tcPr/>
          <w:p>
            <w:pPr>
              <w:pStyle w:val="Compact"/>
              <w:jc w:val="left"/>
            </w:pPr>
            <w:r>
              <w:t xml:space="preserve">$2,135.44</w:t>
            </w:r>
          </w:p>
        </w:tc>
      </w:tr>
      <w:tr>
        <w:tc>
          <w:tcPr/>
          <w:p>
            <w:pPr>
              <w:pStyle w:val="Compact"/>
              <w:jc w:val="left"/>
            </w:pPr>
            <w:r>
              <w:t xml:space="preserve">Los Angeles County Tax (0.30%)</w:t>
            </w:r>
          </w:p>
        </w:tc>
        <w:tc>
          <w:tcPr/>
          <w:p>
            <w:pPr>
              <w:pStyle w:val="Compact"/>
              <w:jc w:val="left"/>
            </w:pPr>
            <w:r>
              <w:t xml:space="preserve">$89.39</w:t>
            </w:r>
          </w:p>
        </w:tc>
      </w:tr>
      <w:tr>
        <w:tc>
          <w:tcPr/>
          <w:p>
            <w:pPr>
              <w:pStyle w:val="Compact"/>
              <w:jc w:val="left"/>
            </w:pPr>
            <w:r>
              <w:t xml:space="preserve">TOTAL DUE</w:t>
            </w:r>
          </w:p>
        </w:tc>
        <w:tc>
          <w:tcPr/>
          <w:p>
            <w:pPr>
              <w:pStyle w:val="Compact"/>
              <w:jc w:val="left"/>
            </w:pPr>
            <w:r>
              <w:t xml:space="preserve">$31,805.45</w:t>
            </w:r>
          </w:p>
        </w:tc>
      </w:tr>
    </w:tbl>
    <w:bookmarkStart w:id="24" w:name="payment-instructions-and-terms"/>
    <w:p>
      <w:pPr>
        <w:pStyle w:val="Heading3"/>
      </w:pPr>
      <w:r>
        <w:t xml:space="preserve">Payment Instructions and Terms</w:t>
      </w:r>
    </w:p>
    <w:p>
      <w:pPr>
        <w:pStyle w:val="FirstParagraph"/>
      </w:pPr>
      <w:r>
        <w:t xml:space="preserve">This invoice is issued by Meridian Defense Advisory Group, a registered consulting firm operating in Los Angeles, California, United States. The services rendered were performed by a qualified Military Officer holding a valid California professional license and all applicable federal security clearances.</w:t>
      </w:r>
    </w:p>
    <w:p>
      <w:pPr>
        <w:pStyle w:val="BodyText"/>
      </w:pPr>
      <w:r>
        <w:t xml:space="preserve">Payment of $31,805.45 is due within thirty (30) calendar days of the invoice issue date, no later than July 12, 2025. Please remit payment via one of the following methods:</w:t>
      </w:r>
    </w:p>
    <w:p>
      <w:pPr>
        <w:pStyle w:val="BodyText"/>
      </w:pPr>
      <w:r>
        <w:rPr>
          <w:bCs/>
          <w:b/>
        </w:rPr>
        <w:t xml:space="preserve">Wire Transfer:</w:t>
      </w:r>
      <w:r>
        <w:t xml:space="preserve"> </w:t>
      </w:r>
      <w:r>
        <w:t xml:space="preserve">First National Bank of Los Angeles | Routing: 121000248 | Account: 4472-8891-003 | SWIFT: FNBKUS33</w:t>
      </w:r>
    </w:p>
    <w:p>
      <w:pPr>
        <w:pStyle w:val="BodyText"/>
      </w:pPr>
      <w:r>
        <w:rPr>
          <w:bCs/>
          <w:b/>
        </w:rPr>
        <w:t xml:space="preserve">Check:</w:t>
      </w:r>
      <w:r>
        <w:t xml:space="preserve"> </w:t>
      </w:r>
      <w:r>
        <w:t xml:space="preserve">Payable to "Meridian Defense Advisory Group" and mail to 4250 Wilshire Boulevard, Suite 1800, Los Angeles, CA 90010, United States.</w:t>
      </w:r>
    </w:p>
    <w:p>
      <w:pPr>
        <w:pStyle w:val="BodyText"/>
      </w:pPr>
      <w:r>
        <w:t xml:space="preserve">A late payment fee of 1.5% per month will be applied to any balance remaining after the due date, in accordance with California Commercial Code Section 2310. Please reference Invoice No. MDAG-2025-0487 on all correspondence and remittances.</w:t>
      </w:r>
    </w:p>
    <w:bookmarkEnd w:id="24"/>
    <w:bookmarkStart w:id="25" w:name="additional-notes-and-certifications"/>
    <w:p>
      <w:pPr>
        <w:pStyle w:val="Heading3"/>
      </w:pPr>
      <w:r>
        <w:t xml:space="preserve">Additional Notes and Certifications</w:t>
      </w:r>
    </w:p>
    <w:p>
      <w:pPr>
        <w:pStyle w:val="FirstParagraph"/>
      </w:pPr>
      <w:r>
        <w:t xml:space="preserve">All services described in this invoice were personally supervised and, where applicable, directly performed by Colonel James A. Whitfield (Ret.), a commissioned Military Officer of the United States Army with twenty-eight years of active and reserve service. The Military Officer holds a current California Bureau of Security and Investigative Services (BSIS) registration and maintains a valid Department of Defense security clearance at the Secret level.</w:t>
      </w:r>
    </w:p>
    <w:p>
      <w:pPr>
        <w:pStyle w:val="BodyText"/>
      </w:pPr>
      <w:r>
        <w:t xml:space="preserve">The client acknowledges that all strategic plans, threat assessments, and operational documents delivered under this engagement are the proprietary intellectual property of Meridian Defense Advisory Group and are subject to a non-disclosure agreement executed on March 15, 2025. No portion of the contingency operations plan or security assessments may be reproduced, distributed, or disclosed to third parties without prior written consent from the Military Officer and the firm's legal counsel in Los Angeles.</w:t>
      </w:r>
    </w:p>
    <w:p>
      <w:pPr>
        <w:pStyle w:val="BodyText"/>
      </w:pPr>
      <w:r>
        <w:t xml:space="preserve">This invoice complies with all applicable United States federal tax reporting requirements, California state invoicing regulations, and the City of Los Angeles business licensing ordinances. A copy of this invoice has been filed with the firm's records in accordance with the Internal Revenue Service (IRS) Publication 334 guidelines for service-based businesses operating in the United States.</w:t>
      </w:r>
    </w:p>
    <w:p>
      <w:pPr>
        <w:pStyle w:val="BodyText"/>
      </w:pPr>
      <w:r>
        <w:t xml:space="preserve">Should the client require a revised invoice, a detailed itemized breakdown of hours, or a certificate of completion for the training workshop, please contact the billing department at billing@meridiandefense.com or call (213) 555-0147 during business hours, Monday through Friday, 8:00 AM to 5:30 PM Pacific Time.</w:t>
      </w:r>
    </w:p>
    <w:bookmarkEnd w:id="25"/>
    <w:p>
      <w:pPr>
        <w:pStyle w:val="BodyText"/>
      </w:pPr>
      <w:r>
        <w:rPr>
          <w:bCs/>
          <w:b/>
        </w:rPr>
        <w:t xml:space="preserve">Meridian Defense Advisory Group</w:t>
      </w:r>
      <w:r>
        <w:t xml:space="preserve"> </w:t>
      </w:r>
      <w:r>
        <w:t xml:space="preserve">| 4250 Wilshire Boulevard, Suite 1800, Los Angeles, CA 90010, United States</w:t>
      </w:r>
    </w:p>
    <w:p>
      <w:pPr>
        <w:pStyle w:val="BodyText"/>
      </w:pPr>
      <w:r>
        <w:t xml:space="preserve">California Corporation No. C4829173 | CA Contractor License C-38-1047291 | BSIS Registration #104-88291</w:t>
      </w:r>
    </w:p>
    <w:p>
      <w:pPr>
        <w:pStyle w:val="BodyText"/>
      </w:pPr>
      <w:r>
        <w:t xml:space="preserve">This invoice was generated electronically and is valid without a physical signature. For questions regarding this Military Officer consulting engagement, please contact the undersigned.</w:t>
      </w:r>
    </w:p>
    <w:p>
      <w:pPr>
        <w:pStyle w:val="BodyText"/>
      </w:pPr>
      <w:r>
        <w:t xml:space="preserve">Invoice MDAG-2025-0487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Strategic Consulting Services - Los Angeles, United States</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