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Tehran,</w:t>
      </w:r>
      <w:r>
        <w:t xml:space="preserve"> </w:t>
      </w:r>
      <w:r>
        <w:t xml:space="preserve">Iran</w:t>
      </w:r>
    </w:p>
    <w:p>
      <w:pPr>
        <w:pStyle w:val="FirstParagraph"/>
      </w:pPr>
      <w:r>
        <w:t xml:space="preserve">INVOICE</w:t>
      </w:r>
    </w:p>
    <w:p>
      <w:pPr>
        <w:pStyle w:val="BodyText"/>
      </w:pPr>
      <w:r>
        <w:t xml:space="preserve">Musician Professional Services</w:t>
      </w:r>
    </w:p>
    <w:p>
      <w:pPr>
        <w:pStyle w:val="BodyText"/>
      </w:pPr>
      <w:r>
        <w:t xml:space="preserve">Tehran, Islamic Republic of Iran</w:t>
      </w:r>
    </w:p>
    <w:p>
      <w:pPr>
        <w:pStyle w:val="BodyText"/>
      </w:pPr>
      <w:r>
        <w:rPr>
          <w:bCs/>
          <w:b/>
        </w:rPr>
        <w:t xml:space="preserve">Invoice No.:</w:t>
      </w:r>
      <w:r>
        <w:t xml:space="preserve"> </w:t>
      </w:r>
      <w:r>
        <w:t xml:space="preserve">INV-THR-2025-04871</w:t>
      </w:r>
    </w:p>
    <w:p>
      <w:pPr>
        <w:pStyle w:val="BodyText"/>
      </w:pPr>
      <w:r>
        <w:rPr>
          <w:bCs/>
          <w:b/>
        </w:rPr>
        <w:t xml:space="preserve">Issue Date:</w:t>
      </w:r>
      <w:r>
        <w:t xml:space="preserve"> </w:t>
      </w:r>
      <w:r>
        <w:t xml:space="preserve">15 Farvardin 1404 (April 5, 2025)</w:t>
      </w:r>
    </w:p>
    <w:p>
      <w:pPr>
        <w:pStyle w:val="BodyText"/>
      </w:pPr>
      <w:r>
        <w:rPr>
          <w:bCs/>
          <w:b/>
        </w:rPr>
        <w:t xml:space="preserve">Due Date:</w:t>
      </w:r>
      <w:r>
        <w:t xml:space="preserve"> </w:t>
      </w:r>
      <w:r>
        <w:t xml:space="preserve">30 Farvardin 1404 (April 20, 2025)</w:t>
      </w:r>
    </w:p>
    <w:p>
      <w:pPr>
        <w:pStyle w:val="BodyText"/>
      </w:pPr>
      <w:r>
        <w:t xml:space="preserve">Pending Payment</w:t>
      </w:r>
    </w:p>
    <w:bookmarkStart w:id="20" w:name="from-musician-service-provider"/>
    <w:p>
      <w:pPr>
        <w:pStyle w:val="Heading3"/>
      </w:pPr>
      <w:r>
        <w:t xml:space="preserve">From (Musician / Service Provider)</w:t>
      </w:r>
    </w:p>
    <w:p>
      <w:pPr>
        <w:pStyle w:val="FirstParagraph"/>
      </w:pPr>
      <w:r>
        <w:rPr>
          <w:bCs/>
          <w:b/>
        </w:rPr>
        <w:t xml:space="preserve">Name:</w:t>
      </w:r>
      <w:r>
        <w:t xml:space="preserve"> </w:t>
      </w:r>
      <w:r>
        <w:t xml:space="preserve">Arash Karimi</w:t>
      </w:r>
    </w:p>
    <w:p>
      <w:pPr>
        <w:pStyle w:val="BodyText"/>
      </w:pPr>
      <w:r>
        <w:rPr>
          <w:bCs/>
          <w:b/>
        </w:rPr>
        <w:t xml:space="preserve">Profession:</w:t>
      </w:r>
      <w:r>
        <w:t xml:space="preserve"> </w:t>
      </w:r>
      <w:r>
        <w:t xml:space="preserve">Professional Musician &amp; Composer</w:t>
      </w:r>
    </w:p>
    <w:p>
      <w:pPr>
        <w:pStyle w:val="BodyText"/>
      </w:pPr>
      <w:r>
        <w:rPr>
          <w:bCs/>
          <w:b/>
        </w:rPr>
        <w:t xml:space="preserve">Address:</w:t>
      </w:r>
      <w:r>
        <w:t xml:space="preserve"> </w:t>
      </w:r>
      <w:r>
        <w:t xml:space="preserve">No. 42, Valiasr Street, 12th Floor, Unit 7, Niavaran District, Tehran, Iran</w:t>
      </w:r>
    </w:p>
    <w:p>
      <w:pPr>
        <w:pStyle w:val="BodyText"/>
      </w:pPr>
      <w:r>
        <w:rPr>
          <w:bCs/>
          <w:b/>
        </w:rPr>
        <w:t xml:space="preserve">Phone:</w:t>
      </w:r>
      <w:r>
        <w:t xml:space="preserve"> </w:t>
      </w:r>
      <w:r>
        <w:t xml:space="preserve">+98 21 8876 5432</w:t>
      </w:r>
    </w:p>
    <w:p>
      <w:pPr>
        <w:pStyle w:val="BodyText"/>
      </w:pPr>
      <w:r>
        <w:rPr>
          <w:bCs/>
          <w:b/>
        </w:rPr>
        <w:t xml:space="preserve">Email:</w:t>
      </w:r>
      <w:r>
        <w:t xml:space="preserve"> </w:t>
      </w:r>
      <w:r>
        <w:t xml:space="preserve">arash.karimi.music@tehranmail.ir</w:t>
      </w:r>
    </w:p>
    <w:p>
      <w:pPr>
        <w:pStyle w:val="BodyText"/>
      </w:pPr>
      <w:r>
        <w:rPr>
          <w:bCs/>
          <w:b/>
        </w:rPr>
        <w:t xml:space="preserve">Tax Code (Shenaseh Moliyeh):</w:t>
      </w:r>
      <w:r>
        <w:t xml:space="preserve"> </w:t>
      </w:r>
      <w:r>
        <w:t xml:space="preserve">10245876321</w:t>
      </w:r>
    </w:p>
    <w:p>
      <w:pPr>
        <w:pStyle w:val="BodyText"/>
      </w:pPr>
      <w:r>
        <w:rPr>
          <w:bCs/>
          <w:b/>
        </w:rPr>
        <w:t xml:space="preserve">Professional License:</w:t>
      </w:r>
      <w:r>
        <w:t xml:space="preserve"> </w:t>
      </w:r>
      <w:r>
        <w:t xml:space="preserve">IR-MUS-2019-00342 (Tehran Municipality Arts Council)</w:t>
      </w:r>
    </w:p>
    <w:bookmarkEnd w:id="20"/>
    <w:bookmarkStart w:id="21" w:name="to-client-recipient"/>
    <w:p>
      <w:pPr>
        <w:pStyle w:val="Heading3"/>
      </w:pPr>
      <w:r>
        <w:t xml:space="preserve">To (Client / Recipient)</w:t>
      </w:r>
    </w:p>
    <w:p>
      <w:pPr>
        <w:pStyle w:val="FirstParagraph"/>
      </w:pPr>
      <w:r>
        <w:rPr>
          <w:bCs/>
          <w:b/>
        </w:rPr>
        <w:t xml:space="preserve">Company:</w:t>
      </w:r>
      <w:r>
        <w:t xml:space="preserve"> </w:t>
      </w:r>
      <w:r>
        <w:t xml:space="preserve">Tehran Grand Cultural Center</w:t>
      </w:r>
    </w:p>
    <w:p>
      <w:pPr>
        <w:pStyle w:val="BodyText"/>
      </w:pPr>
      <w:r>
        <w:rPr>
          <w:bCs/>
          <w:b/>
        </w:rPr>
        <w:t xml:space="preserve">Attention:</w:t>
      </w:r>
      <w:r>
        <w:t xml:space="preserve"> </w:t>
      </w:r>
      <w:r>
        <w:t xml:space="preserve">Ms. Fatemeh Rahimi, Events Director</w:t>
      </w:r>
    </w:p>
    <w:p>
      <w:pPr>
        <w:pStyle w:val="BodyText"/>
      </w:pPr>
      <w:r>
        <w:rPr>
          <w:bCs/>
          <w:b/>
        </w:rPr>
        <w:t xml:space="preserve">Address:</w:t>
      </w:r>
      <w:r>
        <w:t xml:space="preserve"> </w:t>
      </w:r>
      <w:r>
        <w:t xml:space="preserve">No. 15, Enghelab Avenue, Vali-Asr Square, Tehran, Iran</w:t>
      </w:r>
    </w:p>
    <w:p>
      <w:pPr>
        <w:pStyle w:val="BodyText"/>
      </w:pPr>
      <w:r>
        <w:rPr>
          <w:bCs/>
          <w:b/>
        </w:rPr>
        <w:t xml:space="preserve">Phone:</w:t>
      </w:r>
      <w:r>
        <w:t xml:space="preserve"> </w:t>
      </w:r>
      <w:r>
        <w:t xml:space="preserve">+98 21 4455 6677</w:t>
      </w:r>
    </w:p>
    <w:p>
      <w:pPr>
        <w:pStyle w:val="BodyText"/>
      </w:pPr>
      <w:r>
        <w:rPr>
          <w:bCs/>
          <w:b/>
        </w:rPr>
        <w:t xml:space="preserve">Email:</w:t>
      </w:r>
      <w:r>
        <w:t xml:space="preserve"> </w:t>
      </w:r>
      <w:r>
        <w:t xml:space="preserve">events@tehrangrandcenter.ir</w:t>
      </w:r>
    </w:p>
    <w:p>
      <w:pPr>
        <w:pStyle w:val="BodyText"/>
      </w:pPr>
      <w:r>
        <w:rPr>
          <w:bCs/>
          <w:b/>
        </w:rPr>
        <w:t xml:space="preserve">Tax Code:</w:t>
      </w:r>
      <w:r>
        <w:t xml:space="preserve"> </w:t>
      </w:r>
      <w:r>
        <w:t xml:space="preserve">10123456789</w:t>
      </w:r>
    </w:p>
    <w:bookmarkEnd w:id="21"/>
    <w:bookmarkStart w:id="25" w:name="X43543cb3c2323aae63e7f45801398a1a98029f0"/>
    <w:p>
      <w:pPr>
        <w:pStyle w:val="Heading2"/>
      </w:pPr>
      <w:r>
        <w:t xml:space="preserve">Description of Musician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Quantity</w:t>
            </w:r>
          </w:p>
        </w:tc>
        <w:tc>
          <w:tcPr/>
          <w:p>
            <w:pPr>
              <w:pStyle w:val="Compact"/>
              <w:jc w:val="left"/>
            </w:pPr>
            <w:r>
              <w:t xml:space="preserve">Unit Price (IRR)</w:t>
            </w:r>
          </w:p>
        </w:tc>
        <w:tc>
          <w:tcPr/>
          <w:p>
            <w:pPr>
              <w:pStyle w:val="Compact"/>
              <w:jc w:val="left"/>
            </w:pPr>
            <w:r>
              <w:t xml:space="preserve">Amount (IRR)</w:t>
            </w:r>
          </w:p>
        </w:tc>
      </w:tr>
      <w:tr>
        <w:tc>
          <w:tcPr/>
          <w:p>
            <w:pPr>
              <w:pStyle w:val="Compact"/>
              <w:jc w:val="left"/>
            </w:pPr>
            <w:r>
              <w:t xml:space="preserve">1</w:t>
            </w:r>
          </w:p>
        </w:tc>
        <w:tc>
          <w:tcPr/>
          <w:p>
            <w:pPr>
              <w:pStyle w:val="Compact"/>
              <w:jc w:val="left"/>
            </w:pPr>
            <w:r>
              <w:t xml:space="preserve">Live musical performance at the Tehran Spring Cultural Festival, including solo and ensemble pieces on traditional Persian instruments (Tar, Setar, and Santur) at the main stage of Tehran Grand Cultural Center</w:t>
            </w:r>
          </w:p>
        </w:tc>
        <w:tc>
          <w:tcPr/>
          <w:p>
            <w:pPr>
              <w:pStyle w:val="Compact"/>
              <w:jc w:val="left"/>
            </w:pPr>
            <w:r>
              <w:t xml:space="preserve">10 Farvardin 1404</w:t>
            </w:r>
          </w:p>
        </w:tc>
        <w:tc>
          <w:tcPr/>
          <w:p>
            <w:pPr>
              <w:pStyle w:val="Compact"/>
              <w:jc w:val="left"/>
            </w:pPr>
            <w:r>
              <w:t xml:space="preserve">1 event</w:t>
            </w:r>
          </w:p>
        </w:tc>
        <w:tc>
          <w:tcPr/>
          <w:p>
            <w:pPr>
              <w:pStyle w:val="Compact"/>
              <w:jc w:val="left"/>
            </w:pPr>
            <w:r>
              <w:t xml:space="preserve">85,000,000</w:t>
            </w:r>
          </w:p>
        </w:tc>
        <w:tc>
          <w:tcPr/>
          <w:p>
            <w:pPr>
              <w:pStyle w:val="Compact"/>
              <w:jc w:val="left"/>
            </w:pPr>
            <w:r>
              <w:t xml:space="preserve">85,000,000</w:t>
            </w:r>
          </w:p>
        </w:tc>
      </w:tr>
      <w:tr>
        <w:tc>
          <w:tcPr/>
          <w:p>
            <w:pPr>
              <w:pStyle w:val="Compact"/>
              <w:jc w:val="left"/>
            </w:pPr>
            <w:r>
              <w:t xml:space="preserve">2</w:t>
            </w:r>
          </w:p>
        </w:tc>
        <w:tc>
          <w:tcPr/>
          <w:p>
            <w:pPr>
              <w:pStyle w:val="Compact"/>
              <w:jc w:val="left"/>
            </w:pPr>
            <w:r>
              <w:t xml:space="preserve">Composition and arrangement of an original orchestral piece (12-minute duration) specifically commissioned for the Tehran International Music Week 2025, including full sheet music notation and digital audio files</w:t>
            </w:r>
          </w:p>
        </w:tc>
        <w:tc>
          <w:tcPr/>
          <w:p>
            <w:pPr>
              <w:pStyle w:val="Compact"/>
              <w:jc w:val="left"/>
            </w:pPr>
            <w:r>
              <w:t xml:space="preserve">05–12 Farvardin 1404</w:t>
            </w:r>
          </w:p>
        </w:tc>
        <w:tc>
          <w:tcPr/>
          <w:p>
            <w:pPr>
              <w:pStyle w:val="Compact"/>
              <w:jc w:val="left"/>
            </w:pPr>
            <w:r>
              <w:t xml:space="preserve">1 composition</w:t>
            </w:r>
          </w:p>
        </w:tc>
        <w:tc>
          <w:tcPr/>
          <w:p>
            <w:pPr>
              <w:pStyle w:val="Compact"/>
              <w:jc w:val="left"/>
            </w:pPr>
            <w:r>
              <w:t xml:space="preserve">120,000,000</w:t>
            </w:r>
          </w:p>
        </w:tc>
        <w:tc>
          <w:tcPr/>
          <w:p>
            <w:pPr>
              <w:pStyle w:val="Compact"/>
              <w:jc w:val="left"/>
            </w:pPr>
            <w:r>
              <w:t xml:space="preserve">120,000,000</w:t>
            </w:r>
          </w:p>
        </w:tc>
      </w:tr>
      <w:tr>
        <w:tc>
          <w:tcPr/>
          <w:p>
            <w:pPr>
              <w:pStyle w:val="Compact"/>
              <w:jc w:val="left"/>
            </w:pPr>
            <w:r>
              <w:t xml:space="preserve">3</w:t>
            </w:r>
          </w:p>
        </w:tc>
        <w:tc>
          <w:tcPr/>
          <w:p>
            <w:pPr>
              <w:pStyle w:val="Compact"/>
              <w:jc w:val="left"/>
            </w:pPr>
            <w:r>
              <w:t xml:space="preserve">Professional studio recording session (6 hours) at the Tehran Music Recording Studio, Shemiran Avenue, for the commissioned orchestral piece, including mixing and mastering services</w:t>
            </w:r>
          </w:p>
        </w:tc>
        <w:tc>
          <w:tcPr/>
          <w:p>
            <w:pPr>
              <w:pStyle w:val="Compact"/>
              <w:jc w:val="left"/>
            </w:pPr>
            <w:r>
              <w:t xml:space="preserve">13 Farvardin 1404</w:t>
            </w:r>
          </w:p>
        </w:tc>
        <w:tc>
          <w:tcPr/>
          <w:p>
            <w:pPr>
              <w:pStyle w:val="Compact"/>
              <w:jc w:val="left"/>
            </w:pPr>
            <w:r>
              <w:t xml:space="preserve">6 hours</w:t>
            </w:r>
          </w:p>
        </w:tc>
        <w:tc>
          <w:tcPr/>
          <w:p>
            <w:pPr>
              <w:pStyle w:val="Compact"/>
              <w:jc w:val="left"/>
            </w:pPr>
            <w:r>
              <w:t xml:space="preserve">15,000,000</w:t>
            </w:r>
          </w:p>
        </w:tc>
        <w:tc>
          <w:tcPr/>
          <w:p>
            <w:pPr>
              <w:pStyle w:val="Compact"/>
              <w:jc w:val="left"/>
            </w:pPr>
            <w:r>
              <w:t xml:space="preserve">90,000,000</w:t>
            </w:r>
          </w:p>
        </w:tc>
      </w:tr>
      <w:tr>
        <w:tc>
          <w:tcPr/>
          <w:p>
            <w:pPr>
              <w:pStyle w:val="Compact"/>
              <w:jc w:val="left"/>
            </w:pPr>
            <w:r>
              <w:t xml:space="preserve">4</w:t>
            </w:r>
          </w:p>
        </w:tc>
        <w:tc>
          <w:tcPr/>
          <w:p>
            <w:pPr>
              <w:pStyle w:val="Compact"/>
              <w:jc w:val="left"/>
            </w:pPr>
            <w:r>
              <w:t xml:space="preserve">Private music consultation and rehearsal supervision for the Tehran Grand Cultural Center in-house ensemble (4 sessions of 2 hours each), covering performance technique, stage presence, and repertoire selection for upcoming Tehran season</w:t>
            </w:r>
          </w:p>
        </w:tc>
        <w:tc>
          <w:tcPr/>
          <w:p>
            <w:pPr>
              <w:pStyle w:val="Compact"/>
              <w:jc w:val="left"/>
            </w:pPr>
            <w:r>
              <w:t xml:space="preserve">08–14 Farvardin 1404</w:t>
            </w:r>
          </w:p>
        </w:tc>
        <w:tc>
          <w:tcPr/>
          <w:p>
            <w:pPr>
              <w:pStyle w:val="Compact"/>
              <w:jc w:val="left"/>
            </w:pPr>
            <w:r>
              <w:t xml:space="preserve">4 sessions</w:t>
            </w:r>
          </w:p>
        </w:tc>
        <w:tc>
          <w:tcPr/>
          <w:p>
            <w:pPr>
              <w:pStyle w:val="Compact"/>
              <w:jc w:val="left"/>
            </w:pPr>
            <w:r>
              <w:t xml:space="preserve">12,000,000</w:t>
            </w:r>
          </w:p>
        </w:tc>
        <w:tc>
          <w:tcPr/>
          <w:p>
            <w:pPr>
              <w:pStyle w:val="Compact"/>
              <w:jc w:val="left"/>
            </w:pPr>
            <w:r>
              <w:t xml:space="preserve">48,000,000</w:t>
            </w:r>
          </w:p>
        </w:tc>
      </w:tr>
      <w:tr>
        <w:tc>
          <w:tcPr/>
          <w:p>
            <w:pPr>
              <w:pStyle w:val="Compact"/>
              <w:jc w:val="left"/>
            </w:pPr>
            <w:r>
              <w:t xml:space="preserve">5</w:t>
            </w:r>
          </w:p>
        </w:tc>
        <w:tc>
          <w:tcPr/>
          <w:p>
            <w:pPr>
              <w:pStyle w:val="Compact"/>
              <w:jc w:val="left"/>
            </w:pPr>
            <w:r>
              <w:t xml:space="preserve">Provision of original musical score, digital audio files (WAV, MP3, FLAC formats), and performance rights documentation for the commissioned work, including transfer of limited performance license for Tehran-based venues for a period of 12 months</w:t>
            </w:r>
          </w:p>
        </w:tc>
        <w:tc>
          <w:tcPr/>
          <w:p>
            <w:pPr>
              <w:pStyle w:val="Compact"/>
              <w:jc w:val="left"/>
            </w:pPr>
            <w:r>
              <w:t xml:space="preserve">14 Farvardin 1404</w:t>
            </w:r>
          </w:p>
        </w:tc>
        <w:tc>
          <w:tcPr/>
          <w:p>
            <w:pPr>
              <w:pStyle w:val="Compact"/>
              <w:jc w:val="left"/>
            </w:pPr>
            <w:r>
              <w:t xml:space="preserve">1 package</w:t>
            </w:r>
          </w:p>
        </w:tc>
        <w:tc>
          <w:tcPr/>
          <w:p>
            <w:pPr>
              <w:pStyle w:val="Compact"/>
              <w:jc w:val="left"/>
            </w:pPr>
            <w:r>
              <w:t xml:space="preserve">35,000,000</w:t>
            </w:r>
          </w:p>
        </w:tc>
        <w:tc>
          <w:tcPr/>
          <w:p>
            <w:pPr>
              <w:pStyle w:val="Compact"/>
              <w:jc w:val="left"/>
            </w:pPr>
            <w:r>
              <w:t xml:space="preserve">35,000,000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378,000,000 IRR</w:t>
            </w:r>
          </w:p>
        </w:tc>
      </w:tr>
      <w:tr>
        <w:tc>
          <w:tcPr/>
          <w:p>
            <w:pPr>
              <w:pStyle w:val="Compact"/>
              <w:jc w:val="left"/>
            </w:pPr>
            <w:r>
              <w:t xml:space="preserve">VAT (9% – Iranian Value Added Tax)</w:t>
            </w:r>
          </w:p>
        </w:tc>
        <w:tc>
          <w:tcPr/>
          <w:p>
            <w:pPr>
              <w:pStyle w:val="Compact"/>
              <w:jc w:val="right"/>
            </w:pPr>
            <w:r>
              <w:t xml:space="preserve">34,020,000 IRR</w:t>
            </w:r>
          </w:p>
        </w:tc>
      </w:tr>
      <w:tr>
        <w:tc>
          <w:tcPr/>
          <w:p>
            <w:pPr>
              <w:pStyle w:val="Compact"/>
              <w:jc w:val="left"/>
            </w:pPr>
            <w:r>
              <w:t xml:space="preserve">Discount (Early Payment – 2%)</w:t>
            </w:r>
          </w:p>
        </w:tc>
        <w:tc>
          <w:tcPr/>
          <w:p>
            <w:pPr>
              <w:pStyle w:val="Compact"/>
              <w:jc w:val="right"/>
            </w:pPr>
            <w:r>
              <w:t xml:space="preserve">-7,560,000 IRR</w:t>
            </w:r>
          </w:p>
        </w:tc>
      </w:tr>
      <w:tr>
        <w:tc>
          <w:tcPr/>
          <w:p>
            <w:pPr>
              <w:pStyle w:val="Compact"/>
              <w:jc w:val="left"/>
            </w:pPr>
            <w:r>
              <w:t xml:space="preserve">Grand Total Due</w:t>
            </w:r>
          </w:p>
        </w:tc>
        <w:tc>
          <w:tcPr/>
          <w:p>
            <w:pPr>
              <w:pStyle w:val="Compact"/>
              <w:jc w:val="right"/>
            </w:pPr>
            <w:r>
              <w:t xml:space="preserve">404,460,000 IRR</w:t>
            </w:r>
          </w:p>
        </w:tc>
      </w:tr>
    </w:tbl>
    <w:bookmarkStart w:id="22" w:name="notes-remarks"/>
    <w:p>
      <w:pPr>
        <w:pStyle w:val="Heading3"/>
      </w:pPr>
      <w:r>
        <w:t xml:space="preserve">Notes &amp; Remarks</w:t>
      </w:r>
    </w:p>
    <w:p>
      <w:pPr>
        <w:pStyle w:val="FirstParagraph"/>
      </w:pPr>
      <w:r>
        <w:t xml:space="preserve">This invoice pertains to professional musician services rendered by Arash Karimi, a licensed and registered musician operating under the Tehran Municipality Arts Council regulations. All performances and compositions referenced in this invoice were conducted within the city of Tehran, Islamic Republic of Iran, in compliance with local cultural and artistic licensing requirements. The client acknowledges that all musical works delivered are original compositions created exclusively for the Tehran Grand Cultural Center. Payment is expected within 15 calendar days of the issue date. For any disputes regarding the quality or scope of musician services, both parties agree to resolve matters through the Tehran Cultural Arbitration Board.</w:t>
      </w:r>
    </w:p>
    <w:bookmarkEnd w:id="22"/>
    <w:bookmarkStart w:id="23" w:name="payment-instructions"/>
    <w:p>
      <w:pPr>
        <w:pStyle w:val="Heading3"/>
      </w:pPr>
      <w:r>
        <w:t xml:space="preserve">Payment Instructions</w:t>
      </w:r>
    </w:p>
    <w:p>
      <w:pPr>
        <w:pStyle w:val="FirstParagraph"/>
      </w:pPr>
      <w:r>
        <w:rPr>
          <w:bCs/>
          <w:b/>
        </w:rPr>
        <w:t xml:space="preserve">Bank:</w:t>
      </w:r>
      <w:r>
        <w:t xml:space="preserve"> </w:t>
      </w:r>
      <w:r>
        <w:t xml:space="preserve">Bank Melli Iran (BNI)</w:t>
      </w:r>
    </w:p>
    <w:p>
      <w:pPr>
        <w:pStyle w:val="BodyText"/>
      </w:pPr>
      <w:r>
        <w:rPr>
          <w:bCs/>
          <w:b/>
        </w:rPr>
        <w:t xml:space="preserve">Branch:</w:t>
      </w:r>
      <w:r>
        <w:t xml:space="preserve"> </w:t>
      </w:r>
      <w:r>
        <w:t xml:space="preserve">Tehran – Niavaran District, Valiasr Street</w:t>
      </w:r>
    </w:p>
    <w:p>
      <w:pPr>
        <w:pStyle w:val="BodyText"/>
      </w:pPr>
      <w:r>
        <w:rPr>
          <w:bCs/>
          <w:b/>
        </w:rPr>
        <w:t xml:space="preserve">Account Name:</w:t>
      </w:r>
      <w:r>
        <w:t xml:space="preserve"> </w:t>
      </w:r>
      <w:r>
        <w:t xml:space="preserve">Arash Karimi</w:t>
      </w:r>
    </w:p>
    <w:p>
      <w:pPr>
        <w:pStyle w:val="BodyText"/>
      </w:pPr>
      <w:r>
        <w:rPr>
          <w:bCs/>
          <w:b/>
        </w:rPr>
        <w:t xml:space="preserve">IBAN:</w:t>
      </w:r>
      <w:r>
        <w:t xml:space="preserve"> </w:t>
      </w:r>
      <w:r>
        <w:t xml:space="preserve">IR88 0110 0000 4567 8901 2345 6789</w:t>
      </w:r>
    </w:p>
    <w:p>
      <w:pPr>
        <w:pStyle w:val="BodyText"/>
      </w:pPr>
      <w:r>
        <w:rPr>
          <w:bCs/>
          <w:b/>
        </w:rPr>
        <w:t xml:space="preserve">SWIFT Code:</w:t>
      </w:r>
      <w:r>
        <w:t xml:space="preserve"> </w:t>
      </w:r>
      <w:r>
        <w:t xml:space="preserve">BNIIIRTT</w:t>
      </w:r>
    </w:p>
    <w:p>
      <w:pPr>
        <w:pStyle w:val="BodyText"/>
      </w:pPr>
      <w:r>
        <w:rPr>
          <w:bCs/>
          <w:b/>
        </w:rPr>
        <w:t xml:space="preserve">Payment Reference:</w:t>
      </w:r>
      <w:r>
        <w:t xml:space="preserve"> </w:t>
      </w:r>
      <w:r>
        <w:t xml:space="preserve">INV-THR-2025-04871</w:t>
      </w:r>
    </w:p>
    <w:p>
      <w:pPr>
        <w:pStyle w:val="BodyText"/>
      </w:pPr>
      <w:r>
        <w:t xml:space="preserve">Please include the invoice number as the payment reference to ensure proper accounting and tax documentation in accordance with Iranian financial regulations.</w:t>
      </w:r>
    </w:p>
    <w:bookmarkEnd w:id="23"/>
    <w:bookmarkStart w:id="24" w:name="terms-and-conditions"/>
    <w:p>
      <w:pPr>
        <w:pStyle w:val="Heading3"/>
      </w:pPr>
      <w:r>
        <w:t xml:space="preserve">Terms and Conditions</w:t>
      </w:r>
    </w:p>
    <w:p>
      <w:pPr>
        <w:pStyle w:val="FirstParagraph"/>
      </w:pPr>
      <w:r>
        <w:t xml:space="preserve">1. This invoice is valid for 30 days from the issue date. Payment overdue by more than 15 days will incur a late fee of 2% per month as per Iranian commercial law.</w:t>
      </w:r>
    </w:p>
    <w:p>
      <w:pPr>
        <w:pStyle w:val="BodyText"/>
      </w:pPr>
      <w:r>
        <w:t xml:space="preserve">2. All musician services described herein are subject to the terms of the Master Service Agreement (MSA-THR-2025-012) signed between the parties on 28 Esfand 1403.</w:t>
      </w:r>
    </w:p>
    <w:p>
      <w:pPr>
        <w:pStyle w:val="BodyText"/>
      </w:pPr>
      <w:r>
        <w:t xml:space="preserve">3. The musician retains full copyright ownership of all original compositions. The client receives a limited, non-transferable performance license restricted to venues within Tehran, Iran, for the duration specified in Line Item 5.</w:t>
      </w:r>
    </w:p>
    <w:p>
      <w:pPr>
        <w:pStyle w:val="BodyText"/>
      </w:pPr>
      <w:r>
        <w:t xml:space="preserve">4. This invoice is issued in accordance with the Iranian Tax Administration (Sazman-e Omour-e Moliyeh) regulations and is valid for tax deduction purposes. A stamped copy of this invoice, along with the musician's tax registration certificate, must be retained by the client for their annual tax filing.</w:t>
      </w:r>
    </w:p>
    <w:p>
      <w:pPr>
        <w:pStyle w:val="BodyText"/>
      </w:pPr>
      <w:r>
        <w:t xml:space="preserve">5. Any cancellation or modification of services after the date of service rendering will not be subject to refund. Pre-service cancellations are subject to a 25% administrative fee.</w:t>
      </w:r>
    </w:p>
    <w:p>
      <w:pPr>
        <w:pStyle w:val="BodyText"/>
      </w:pPr>
      <w:r>
        <w:t xml:space="preserve">6. This invoice is governed by the laws of the Islamic Republic of Iran. Any legal disputes shall be adjudicated in the competent courts of Tehran.</w:t>
      </w:r>
    </w:p>
    <w:bookmarkEnd w:id="24"/>
    <w:p>
      <w:pPr>
        <w:pStyle w:val="BodyText"/>
      </w:pPr>
      <w:r>
        <w:rPr>
          <w:bCs/>
          <w:b/>
        </w:rPr>
        <w:t xml:space="preserve">Arash Karimi</w:t>
      </w:r>
      <w:r>
        <w:br/>
      </w:r>
      <w:r>
        <w:t xml:space="preserve">Musician / Service Provider</w:t>
      </w:r>
      <w:r>
        <w:br/>
      </w:r>
      <w:r>
        <w:t xml:space="preserve">Date: 15 Farvardin 1404</w:t>
      </w:r>
    </w:p>
    <w:p>
      <w:pPr>
        <w:pStyle w:val="BodyText"/>
      </w:pPr>
      <w:r>
        <w:rPr>
          <w:bCs/>
          <w:b/>
        </w:rPr>
        <w:t xml:space="preserve">Client Acknowledgment</w:t>
      </w:r>
      <w:r>
        <w:br/>
      </w:r>
      <w:r>
        <w:t xml:space="preserve">Tehran Grand Cultural Center</w:t>
      </w:r>
      <w:r>
        <w:br/>
      </w:r>
      <w:r>
        <w:t xml:space="preserve">Date: _______________</w:t>
      </w:r>
    </w:p>
    <w:p>
      <w:pPr>
        <w:pStyle w:val="BodyText"/>
      </w:pPr>
      <w:r>
        <w:t xml:space="preserve">Invoice INV-THR-2025-04871 | Issued in Tehran, Islamic Republic of Iran</w:t>
      </w:r>
    </w:p>
    <w:p>
      <w:pPr>
        <w:pStyle w:val="BodyText"/>
      </w:pPr>
      <w:r>
        <w:t xml:space="preserve">Arash Karimi – Professional Musician | Tax Code: 10245876321 | Tehran Municipality Arts Council License: IR-MUS-2019-00342</w:t>
      </w:r>
    </w:p>
    <w:p>
      <w:pPr>
        <w:pStyle w:val="BodyText"/>
      </w:pPr>
      <w:r>
        <w:t xml:space="preserve">This document is a legally binding financial instrument issued under Iranian commercial and tax law. For inquiries, contact the musician directly at the address listed above.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Musician Services - Tehran, Iran</dc:title>
  <dc:creator/>
  <dc:language>en</dc:language>
  <cp:keywords/>
  <dcterms:created xsi:type="dcterms:W3CDTF">2026-10-10T02:33:20Z</dcterms:created>
  <dcterms:modified xsi:type="dcterms:W3CDTF">2026-10-10T02:33:20Z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