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Iraq</w:t>
      </w:r>
      <w:r>
        <w:t xml:space="preserve"> </w:t>
      </w:r>
      <w:r>
        <w:t xml:space="preserve">Baghdad</w:t>
      </w:r>
    </w:p>
    <w:p>
      <w:pPr>
        <w:pStyle w:val="FirstParagraph"/>
      </w:pPr>
      <w:r>
        <w:t xml:space="preserve">INVOICE</w:t>
      </w:r>
    </w:p>
    <w:p>
      <w:pPr>
        <w:pStyle w:val="BodyText"/>
      </w:pPr>
      <w:r>
        <w:rPr>
          <w:bCs/>
          <w:b/>
        </w:rPr>
        <w:t xml:space="preserve">DeepWater Marine Research &amp; Consulting LLC</w:t>
      </w:r>
      <w:r>
        <w:br/>
      </w:r>
      <w:r>
        <w:t xml:space="preserve">Office 42, Al-Mansour Business Tower, Al-Mansour District</w:t>
      </w:r>
      <w:r>
        <w:br/>
      </w:r>
      <w:r>
        <w:t xml:space="preserve">Iraq Baghdad, 10013, Republic of Iraq</w:t>
      </w:r>
      <w:r>
        <w:br/>
      </w:r>
      <w:r>
        <w:t xml:space="preserve">Phone: +964-770-123-4567 | Email: billing@deepwater-marine-iraq.com</w:t>
      </w:r>
      <w:r>
        <w:br/>
      </w:r>
      <w:r>
        <w:t xml:space="preserve">Commercial Registration No: IQ-2024-08841 | VAT No: IQVAT-7729104</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DWMR-2025-00347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Iraqi Dinar (IQD)</w:t>
      </w:r>
    </w:p>
    <w:bookmarkEnd w:id="20"/>
    <w:bookmarkStart w:id="21" w:name="billed-to"/>
    <w:p>
      <w:pPr>
        <w:pStyle w:val="Heading3"/>
      </w:pPr>
      <w:r>
        <w:t xml:space="preserve">Billed To</w:t>
      </w:r>
    </w:p>
    <w:p>
      <w:pPr>
        <w:pStyle w:val="FirstParagraph"/>
      </w:pPr>
      <w:r>
        <w:rPr>
          <w:bCs/>
          <w:b/>
        </w:rPr>
        <w:t xml:space="preserve">Ministry of Water Resources</w:t>
      </w:r>
      <w:r>
        <w:br/>
      </w:r>
      <w:r>
        <w:t xml:space="preserve">Directorate of Hydrological Surveys</w:t>
      </w:r>
      <w:r>
        <w:br/>
      </w:r>
      <w:r>
        <w:t xml:space="preserve">Al-Karrada District, Iraq Baghdad</w:t>
      </w:r>
      <w:r>
        <w:br/>
      </w:r>
      <w:r>
        <w:t xml:space="preserve">Republic of Iraq</w:t>
      </w:r>
      <w:r>
        <w:br/>
      </w:r>
      <w:r>
        <w:t xml:space="preserve">Attn: Dr. Hassan Al-Rashid, Director</w:t>
      </w:r>
    </w:p>
    <w:bookmarkEnd w:id="21"/>
    <w:bookmarkStart w:id="23" w:name="service-description"/>
    <w:p>
      <w:pPr>
        <w:pStyle w:val="Heading2"/>
      </w:pPr>
      <w:r>
        <w:t xml:space="preserve">Service Description</w:t>
      </w:r>
    </w:p>
    <w:p>
      <w:pPr>
        <w:pStyle w:val="FirstParagraph"/>
      </w:pPr>
      <w:r>
        <w:t xml:space="preserve">This Invoice is issued by DeepWater Marine Research &amp; Consulting LLC for the professional services rendered by a certified Oceanographer engaged in hydrological and marine geological survey operations within the jurisdiction of Iraq Baghdad and its surrounding waterway systems. The Oceanographer, Dr. Sarah Mitchell (Ph.D. in Oceanography, University of Southampton), was contracted to conduct comprehensive water quality assessments, sediment core sampling, and bathymetric mapping of the Tigris and Euphrates river channels as they traverse the Iraq Baghdad metropolitan area. All fieldwork, laboratory analysis, and reporting were performed in accordance with the technical specifications outlined in Contract Reference No. MWR-2025-112, executed between the Ministry of Water Resources and DeepWater Marine Research &amp; Consulting LLC.</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Oceanographer field deployment – Tigris River bathymetric survey, Iraq Baghdad sector (Al-Mansour to Al-Yusufiya stretch), including sonar mapping and depth profiling</w:t>
            </w:r>
          </w:p>
        </w:tc>
        <w:tc>
          <w:tcPr/>
          <w:p>
            <w:pPr>
              <w:pStyle w:val="Compact"/>
              <w:jc w:val="left"/>
            </w:pPr>
            <w:r>
              <w:t xml:space="preserve">12</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Oceanographer laboratory analysis – Sediment core sampling and geochemical composition testing (18 core samples) conducted at the Iraq Baghdad Marine Geology Lab</w:t>
            </w:r>
          </w:p>
        </w:tc>
        <w:tc>
          <w:tcPr/>
          <w:p>
            <w:pPr>
              <w:pStyle w:val="Compact"/>
              <w:jc w:val="left"/>
            </w:pPr>
            <w:r>
              <w:t xml:space="preserve">18</w:t>
            </w:r>
          </w:p>
        </w:tc>
        <w:tc>
          <w:tcPr/>
          <w:p>
            <w:pPr>
              <w:pStyle w:val="Compact"/>
              <w:jc w:val="left"/>
            </w:pPr>
            <w:r>
              <w:t xml:space="preserve">Samples</w:t>
            </w:r>
          </w:p>
        </w:tc>
        <w:tc>
          <w:tcPr/>
          <w:p>
            <w:pPr>
              <w:pStyle w:val="Compact"/>
              <w:jc w:val="left"/>
            </w:pPr>
            <w:r>
              <w:t xml:space="preserve">120,000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Oceanographer water quality monitoring – Dissolved oxygen, pH, turbidity, and heavy metal concentration measurements across 24 monitoring stations in Iraq Baghdad</w:t>
            </w:r>
          </w:p>
        </w:tc>
        <w:tc>
          <w:tcPr/>
          <w:p>
            <w:pPr>
              <w:pStyle w:val="Compact"/>
              <w:jc w:val="left"/>
            </w:pPr>
            <w:r>
              <w:t xml:space="preserve">24</w:t>
            </w:r>
          </w:p>
        </w:tc>
        <w:tc>
          <w:tcPr/>
          <w:p>
            <w:pPr>
              <w:pStyle w:val="Compact"/>
              <w:jc w:val="left"/>
            </w:pPr>
            <w:r>
              <w:t xml:space="preserve">Stations</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4</w:t>
            </w:r>
          </w:p>
        </w:tc>
        <w:tc>
          <w:tcPr/>
          <w:p>
            <w:pPr>
              <w:pStyle w:val="Compact"/>
              <w:jc w:val="left"/>
            </w:pPr>
            <w:r>
              <w:t xml:space="preserve">Oceanographer technical report preparation – Comprehensive 220-page hydrological assessment report with GIS-integrated maps, data tables, and recommendations for the Iraq Baghdad water management authority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Oceanographer on-site consultation and presentation – Two (2) full-day briefing sessions with Ministry of Water Resources officials in Iraq Baghdad to present findings and answer technical queries</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6</w:t>
            </w:r>
          </w:p>
        </w:tc>
        <w:tc>
          <w:tcPr/>
          <w:p>
            <w:pPr>
              <w:pStyle w:val="Compact"/>
              <w:jc w:val="left"/>
            </w:pPr>
            <w:r>
              <w:t xml:space="preserve">Oceanographer equipment calibration and maintenance – Multibeam echo sounder, CTD profiler, and sediment corer servicing prior to and following the Iraq Baghdad field campaign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7</w:t>
            </w:r>
          </w:p>
        </w:tc>
        <w:tc>
          <w:tcPr/>
          <w:p>
            <w:pPr>
              <w:pStyle w:val="Compact"/>
              <w:jc w:val="left"/>
            </w:pPr>
            <w:r>
              <w:t xml:space="preserve">Oceanographer travel, accommodation, and per diem – Relocation of the Oceanographer from Erbil to Iraq Baghdad for the 14-day fieldwork period, including local transport and lodging</w:t>
            </w:r>
          </w:p>
        </w:tc>
        <w:tc>
          <w:tcPr/>
          <w:p>
            <w:pPr>
              <w:pStyle w:val="Compact"/>
              <w:jc w:val="left"/>
            </w:pPr>
            <w:r>
              <w:t xml:space="preserve">14</w:t>
            </w:r>
          </w:p>
        </w:tc>
        <w:tc>
          <w:tcPr/>
          <w:p>
            <w:pPr>
              <w:pStyle w:val="Compact"/>
              <w:jc w:val="left"/>
            </w:pPr>
            <w:r>
              <w:t xml:space="preserve">Days</w:t>
            </w:r>
          </w:p>
        </w:tc>
        <w:tc>
          <w:tcPr/>
          <w:p>
            <w:pPr>
              <w:pStyle w:val="Compact"/>
              <w:jc w:val="left"/>
            </w:pPr>
            <w:r>
              <w:t xml:space="preserve">95,000</w:t>
            </w:r>
          </w:p>
        </w:tc>
        <w:tc>
          <w:tcPr/>
          <w:p>
            <w:pPr>
              <w:pStyle w:val="Compact"/>
              <w:jc w:val="left"/>
            </w:pPr>
            <w:r>
              <w:t xml:space="preserve">1,330,000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15,810,000 IQD</w:t>
            </w:r>
          </w:p>
        </w:tc>
      </w:tr>
      <w:tr>
        <w:tc>
          <w:tcPr/>
          <w:p>
            <w:pPr>
              <w:pStyle w:val="Compact"/>
              <w:jc w:val="left"/>
            </w:pPr>
            <w:r>
              <w:t xml:space="preserve">VAT (5%)</w:t>
            </w:r>
          </w:p>
        </w:tc>
        <w:tc>
          <w:tcPr/>
          <w:p>
            <w:pPr>
              <w:pStyle w:val="Compact"/>
              <w:jc w:val="right"/>
            </w:pPr>
            <w:r>
              <w:t xml:space="preserve">790,500 IQD</w:t>
            </w:r>
          </w:p>
        </w:tc>
      </w:tr>
      <w:tr>
        <w:tc>
          <w:tcPr/>
          <w:p>
            <w:pPr>
              <w:pStyle w:val="Compact"/>
              <w:jc w:val="left"/>
            </w:pPr>
            <w:r>
              <w:t xml:space="preserve">Service Tax (3%)</w:t>
            </w:r>
          </w:p>
        </w:tc>
        <w:tc>
          <w:tcPr/>
          <w:p>
            <w:pPr>
              <w:pStyle w:val="Compact"/>
              <w:jc w:val="right"/>
            </w:pPr>
            <w:r>
              <w:t xml:space="preserve">474,300 IQD</w:t>
            </w:r>
          </w:p>
        </w:tc>
      </w:tr>
      <w:tr>
        <w:tc>
          <w:tcPr/>
          <w:p>
            <w:pPr>
              <w:pStyle w:val="Compact"/>
              <w:jc w:val="left"/>
            </w:pPr>
            <w:r>
              <w:t xml:space="preserve">Grand Total</w:t>
            </w:r>
          </w:p>
        </w:tc>
        <w:tc>
          <w:tcPr/>
          <w:p>
            <w:pPr>
              <w:pStyle w:val="Compact"/>
              <w:jc w:val="right"/>
            </w:pPr>
            <w:r>
              <w:t xml:space="preserve">17,074,800 IQD</w:t>
            </w:r>
          </w:p>
        </w:tc>
      </w:tr>
    </w:tbl>
    <w:p>
      <w:pPr>
        <w:pStyle w:val="BodyText"/>
      </w:pPr>
      <w:r>
        <w:rPr>
          <w:bCs/>
          <w:b/>
        </w:rPr>
        <w:t xml:space="preserve">Amount in Words:</w:t>
      </w:r>
      <w:r>
        <w:t xml:space="preserve"> </w:t>
      </w:r>
      <w:r>
        <w:t xml:space="preserve">Seventeen Million, Seventy-Four Thousand, Eight Hundred Iraqi Dinars only. This Invoice is payable in full within thirty (30) calendar days from the Invoice date of 14 June 2025. Late payments shall accrue interest at a rate of 1.5% per month as stipulated under Iraqi commercial law.</w:t>
      </w:r>
    </w:p>
    <w:bookmarkStart w:id="22" w:name="terms-and-conditions-of-this-invoice"/>
    <w:p>
      <w:pPr>
        <w:pStyle w:val="Heading3"/>
      </w:pPr>
      <w:r>
        <w:t xml:space="preserve">Terms and Conditions of This Invoice</w:t>
      </w:r>
    </w:p>
    <w:p>
      <w:pPr>
        <w:numPr>
          <w:ilvl w:val="0"/>
          <w:numId w:val="1001"/>
        </w:numPr>
        <w:pStyle w:val="Compact"/>
      </w:pPr>
      <w:r>
        <w:t xml:space="preserve">This Invoice constitutes the final and complete billing for all Oceanographer services rendered under Contract Reference No. MWR-2025-112. No additional charges shall be incurred beyond the amounts stated herein unless a written amendment is executed by both parties.</w:t>
      </w:r>
    </w:p>
    <w:p>
      <w:pPr>
        <w:numPr>
          <w:ilvl w:val="0"/>
          <w:numId w:val="1001"/>
        </w:numPr>
        <w:pStyle w:val="Compact"/>
      </w:pPr>
      <w:r>
        <w:t xml:space="preserve">Payment for this Invoice shall be made via bank transfer to the account of DeepWater Marine Research &amp; Consulting LLC, Bank of Baghdad, Branch: Al-Mansour, Account No: 0042-8871-2239-01, SWIFT: BKBGIQBB. The remittance reference must include the Invoice number DWMR-2025-00347.</w:t>
      </w:r>
    </w:p>
    <w:p>
      <w:pPr>
        <w:numPr>
          <w:ilvl w:val="0"/>
          <w:numId w:val="1001"/>
        </w:numPr>
        <w:pStyle w:val="Compact"/>
      </w:pPr>
      <w:r>
        <w:t xml:space="preserve">The Oceanographer's intellectual property rights over the raw data, analytical methodologies, and proprietary software used during the Iraq Baghdad survey campaign remain with DeepWater Marine Research &amp; Consulting LLC. The Ministry of Water Resources receives a non-exclusive, non-transferable license to use the final report and associated datasets for governmental water management purposes within Iraq Baghdad and the Republic of Iraq.</w:t>
      </w:r>
    </w:p>
    <w:p>
      <w:pPr>
        <w:numPr>
          <w:ilvl w:val="0"/>
          <w:numId w:val="1001"/>
        </w:numPr>
        <w:pStyle w:val="Compact"/>
      </w:pPr>
      <w:r>
        <w:t xml:space="preserve">All fieldwork conducted by the Oceanographer in Iraq Baghdad was performed in compliance with Iraqi environmental regulations, the Water Resources Protection Law (2005), and applicable municipal permits issued by the Iraq Baghdad municipal authority. Copies of all permits are attached to the final technical report.</w:t>
      </w:r>
    </w:p>
    <w:p>
      <w:pPr>
        <w:numPr>
          <w:ilvl w:val="0"/>
          <w:numId w:val="1001"/>
        </w:numPr>
        <w:pStyle w:val="Compact"/>
      </w:pPr>
      <w:r>
        <w:t xml:space="preserve">In the event of a dispute regarding this Invoice, both parties agree to first attempt resolution through good-faith negotiation. Should negotiation fail, the matter shall be referred to the competent commercial court in Iraq Baghdad in accordance with Iraqi civil and commercial procedure.</w:t>
      </w:r>
    </w:p>
    <w:p>
      <w:pPr>
        <w:numPr>
          <w:ilvl w:val="0"/>
          <w:numId w:val="1001"/>
        </w:numPr>
        <w:pStyle w:val="Compact"/>
      </w:pPr>
      <w:r>
        <w:t xml:space="preserve">This Invoice is valid for a period of ninety (90) days from the date of issue. After this period, the Invoice may be subject to re-evaluation of applicable tax rates and exchange conditions.</w:t>
      </w:r>
    </w:p>
    <w:bookmarkEnd w:id="22"/>
    <w:p>
      <w:pPr>
        <w:pStyle w:val="FirstParagraph"/>
      </w:pPr>
      <w:r>
        <w:t xml:space="preserve">This Invoice was generated electronically and is valid without a physical signature in accordance with Iraqi Electronic Transactions Law No. 48 of 2015.</w:t>
      </w:r>
    </w:p>
    <w:p>
      <w:pPr>
        <w:pStyle w:val="BodyText"/>
      </w:pPr>
      <w:r>
        <w:t xml:space="preserve">DeepWater Marine Research &amp; Consulting LLC | Iraq Baghdad | Invoice DWMR-2025-00347 | Page 1 of 1</w:t>
      </w:r>
    </w:p>
    <w:p>
      <w:pPr>
        <w:pStyle w:val="BodyText"/>
      </w:pPr>
      <w:r>
        <w:t xml:space="preserve">For queries regarding this Invoice, please contact our billing department at billing@deepwater-marine-iraq.com or +964-770-123-4567, Monday to Friday, 8:00 AM – 4:00 PM (Iraq Baghdad time, AST, UTC+3).</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Iraq Baghdad</dc:title>
  <dc:creator/>
  <dc:language>en</dc:language>
  <cp:keywords/>
  <dcterms:created xsi:type="dcterms:W3CDTF">2026-10-10T04:05:34Z</dcterms:created>
  <dcterms:modified xsi:type="dcterms:W3CDTF">2026-10-10T04:05:34Z</dcterms:modified>
</cp:coreProperties>
</file>

<file path=docProps/custom.xml><?xml version="1.0" encoding="utf-8"?>
<Properties xmlns="http://schemas.openxmlformats.org/officeDocument/2006/custom-properties" xmlns:vt="http://schemas.openxmlformats.org/officeDocument/2006/docPropsVTypes"/>
</file>