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Ophthalmology</w:t>
      </w:r>
      <w:r>
        <w:t xml:space="preserve"> </w:t>
      </w:r>
      <w:r>
        <w:t xml:space="preserve">Services</w:t>
      </w:r>
      <w:r>
        <w:t xml:space="preserve"> </w:t>
      </w:r>
      <w:r>
        <w:t xml:space="preserve">-</w:t>
      </w:r>
      <w:r>
        <w:t xml:space="preserve"> </w:t>
      </w:r>
      <w:r>
        <w:t xml:space="preserve">Bogotá,</w:t>
      </w:r>
      <w:r>
        <w:t xml:space="preserve"> </w:t>
      </w:r>
      <w:r>
        <w:t xml:space="preserve">Colombia</w:t>
      </w:r>
    </w:p>
    <w:bookmarkStart w:id="20" w:name="clínica-visión-bogotá"/>
    <w:p>
      <w:pPr>
        <w:pStyle w:val="Heading1"/>
      </w:pPr>
      <w:r>
        <w:t xml:space="preserve">CLÍNICA VISIÓN BOGOTÁ</w:t>
      </w:r>
    </w:p>
    <w:p>
      <w:pPr>
        <w:pStyle w:val="FirstParagraph"/>
      </w:pPr>
      <w:r>
        <w:rPr>
          <w:bCs/>
          <w:b/>
        </w:rPr>
        <w:t xml:space="preserve">Specialized Ophthalmology Center</w:t>
      </w:r>
    </w:p>
    <w:p>
      <w:pPr>
        <w:pStyle w:val="BodyText"/>
      </w:pPr>
      <w:r>
        <w:t xml:space="preserve">Cra. 7 #72-61, Oficina 501</w:t>
      </w:r>
    </w:p>
    <w:p>
      <w:pPr>
        <w:pStyle w:val="BodyText"/>
      </w:pPr>
      <w:r>
        <w:t xml:space="preserve">Localización: Zona T, Bogotá D.C., Colombia</w:t>
      </w:r>
    </w:p>
    <w:p>
      <w:pPr>
        <w:pStyle w:val="BodyText"/>
      </w:pPr>
      <w:r>
        <w:t xml:space="preserve">NIT: 900.123.456-7</w:t>
      </w:r>
    </w:p>
    <w:p>
      <w:pPr>
        <w:pStyle w:val="BodyText"/>
      </w:pPr>
      <w:r>
        <w:t xml:space="preserve">Teléfono: +57 (1) 234 5678</w:t>
      </w:r>
    </w:p>
    <w:p>
      <w:pPr>
        <w:pStyle w:val="BodyText"/>
      </w:pPr>
      <w:r>
        <w:t xml:space="preserve">Email: facturación@visionbogota.com.co</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 of Issue:</w:t>
      </w:r>
      <w:r>
        <w:t xml:space="preserve"> </w:t>
      </w:r>
      <w:r>
        <w:t xml:space="preserve">October 24, 2024</w:t>
      </w:r>
    </w:p>
    <w:p>
      <w:pPr>
        <w:pStyle w:val="BodyText"/>
      </w:pPr>
      <w:r>
        <w:rPr>
          <w:bCs/>
          <w:b/>
        </w:rPr>
        <w:t xml:space="preserve">Due Date:</w:t>
      </w:r>
      <w:r>
        <w:t xml:space="preserve"> </w:t>
      </w:r>
      <w:r>
        <w:t xml:space="preserve">November 24, 2024</w:t>
      </w:r>
    </w:p>
    <w:p>
      <w:pPr>
        <w:pStyle w:val="BodyText"/>
      </w:pPr>
      <w:r>
        <w:rPr>
          <w:bCs/>
          <w:b/>
        </w:rPr>
        <w:t xml:space="preserve">Payment Terms:</w:t>
      </w:r>
      <w:r>
        <w:t xml:space="preserve"> </w:t>
      </w:r>
      <w:r>
        <w:t xml:space="preserve">Net 30 Days</w:t>
      </w:r>
    </w:p>
    <w:p>
      <w:pPr>
        <w:pStyle w:val="BodyText"/>
      </w:pPr>
      <w:r>
        <w:rPr>
          <w:bCs/>
          <w:b/>
        </w:rPr>
        <w:t xml:space="preserve">Service Period:</w:t>
      </w:r>
      <w:r>
        <w:t xml:space="preserve"> </w:t>
      </w:r>
      <w:r>
        <w:t xml:space="preserve">October 2024</w:t>
      </w:r>
    </w:p>
    <w:bookmarkEnd w:id="21"/>
    <w:bookmarkStart w:id="22" w:name="bill-to"/>
    <w:p>
      <w:pPr>
        <w:pStyle w:val="Heading3"/>
      </w:pPr>
      <w:r>
        <w:t xml:space="preserve">Bill To:</w:t>
      </w:r>
    </w:p>
    <w:p>
      <w:pPr>
        <w:pStyle w:val="FirstParagraph"/>
      </w:pPr>
      <w:r>
        <w:rPr>
          <w:bCs/>
          <w:b/>
        </w:rPr>
        <w:t xml:space="preserve">Patient Name:</w:t>
      </w:r>
      <w:r>
        <w:t xml:space="preserve"> </w:t>
      </w:r>
      <w:r>
        <w:t xml:space="preserve">María Fernanda López García</w:t>
      </w:r>
    </w:p>
    <w:p>
      <w:pPr>
        <w:pStyle w:val="BodyText"/>
      </w:pPr>
      <w:r>
        <w:rPr>
          <w:bCs/>
          <w:b/>
        </w:rPr>
        <w:t xml:space="preserve">ID Number (Cédula):</w:t>
      </w:r>
      <w:r>
        <w:t xml:space="preserve"> </w:t>
      </w:r>
      <w:r>
        <w:t xml:space="preserve">1.098.765.432</w:t>
      </w:r>
    </w:p>
    <w:p>
      <w:pPr>
        <w:pStyle w:val="BodyText"/>
      </w:pPr>
      <w:r>
        <w:rPr>
          <w:bCs/>
          <w:b/>
        </w:rPr>
        <w:t xml:space="preserve">Address:</w:t>
      </w:r>
      <w:r>
        <w:t xml:space="preserve"> </w:t>
      </w:r>
      <w:r>
        <w:t xml:space="preserve">Calle 100 #15-30, Apto 402, Bogotá D.C., Colombia</w:t>
      </w:r>
    </w:p>
    <w:p>
      <w:pPr>
        <w:pStyle w:val="BodyText"/>
      </w:pPr>
      <w:r>
        <w:rPr>
          <w:bCs/>
          <w:b/>
        </w:rPr>
        <w:t xml:space="preserve">Email:</w:t>
      </w:r>
      <w:r>
        <w:t xml:space="preserve"> </w:t>
      </w:r>
      <w:r>
        <w:t xml:space="preserve">m.lopez@email.com</w:t>
      </w:r>
    </w:p>
    <w:p>
      <w:pPr>
        <w:pStyle w:val="BodyText"/>
      </w:pPr>
      <w:r>
        <w:rPr>
          <w:bCs/>
          <w:b/>
        </w:rPr>
        <w:t xml:space="preserve">Phone:</w:t>
      </w:r>
      <w:r>
        <w:t xml:space="preserve"> </w:t>
      </w:r>
      <w:r>
        <w:t xml:space="preserve">+57 310 987 6543</w:t>
      </w:r>
    </w:p>
    <w:p>
      <w:pPr>
        <w:pStyle w:val="BodyText"/>
      </w:pPr>
      <w:r>
        <w:rPr>
          <w:bCs/>
          <w:b/>
        </w:rPr>
        <w:t xml:space="preserve">Insurance Provider:</w:t>
      </w:r>
      <w:r>
        <w:t xml:space="preserve"> </w:t>
      </w:r>
      <w:r>
        <w:t xml:space="preserve">EPS Sanitas (Policy #SAN-456789)</w:t>
      </w:r>
    </w:p>
    <w:bookmarkEnd w:id="22"/>
    <w:bookmarkStart w:id="24" w:name="Xa22c6fd4f85d236243e33c865ccae6eff7b2358"/>
    <w:p>
      <w:pPr>
        <w:pStyle w:val="Heading3"/>
      </w:pPr>
      <w:r>
        <w:t xml:space="preserve">Professional Ophthalmology Services Rendered</w:t>
      </w:r>
    </w:p>
    <w:p>
      <w:pPr>
        <w:pStyle w:val="FirstParagraph"/>
      </w:pPr>
      <w:r>
        <w:t xml:space="preserve">This invoice details the comprehensive ophthalmological services provided by our licensed specialists at Clínica Visión Bogotá. All procedures were conducted in accordance with the medical standards established by the Colombian Ministry of Health and the Colombian Society of Ophthalmology. Our clinic is strategically located in the heart of Bogotá, Colombia, serving patients with advanced diagnostic and therapeutic eye care solutions.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Service Code</w:t>
            </w:r>
          </w:p>
        </w:tc>
        <w:tc>
          <w:tcPr/>
          <w:p>
            <w:pPr>
              <w:pStyle w:val="Compact"/>
              <w:jc w:val="left"/>
            </w:pPr>
            <w:r>
              <w:t xml:space="preserve">Description of Ophthalmological Service</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OPH-001</w:t>
            </w:r>
          </w:p>
        </w:tc>
        <w:tc>
          <w:tcPr/>
          <w:p>
            <w:pPr>
              <w:pStyle w:val="Compact"/>
              <w:jc w:val="left"/>
            </w:pPr>
            <w:r>
              <w:t xml:space="preserve">Comprehensive Ophthalmological Examination including visual acuity testing, refraction, slit-lamp examination, and intraocular pressure measurement. This initial consultation is essential for diagnosing various eye conditions prevalent in the Bogotá metropolitan area.</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OPH-002</w:t>
            </w:r>
          </w:p>
        </w:tc>
        <w:tc>
          <w:tcPr/>
          <w:p>
            <w:pPr>
              <w:pStyle w:val="Compact"/>
              <w:jc w:val="left"/>
            </w:pPr>
            <w:r>
              <w:t xml:space="preserve">Dilated Fundus Examination with detailed retinal assessment. This procedure allows our ophthalmologist to examine the retina, optic nerve, and blood vessels for signs of diabetic retinopathy, glaucoma, and macular degeneration.</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OPH-003</w:t>
            </w:r>
          </w:p>
        </w:tc>
        <w:tc>
          <w:tcPr/>
          <w:p>
            <w:pPr>
              <w:pStyle w:val="Compact"/>
              <w:jc w:val="left"/>
            </w:pPr>
            <w:r>
              <w:t xml:space="preserve">Optical Coherence Tomography (OCT) Scan. Advanced imaging technology used to capture high-resolution cross-sectional images of the retina, crucial for early detection and monitoring of retinal diseases.</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OPH-004</w:t>
            </w:r>
          </w:p>
        </w:tc>
        <w:tc>
          <w:tcPr/>
          <w:p>
            <w:pPr>
              <w:pStyle w:val="Compact"/>
              <w:jc w:val="left"/>
            </w:pPr>
            <w:r>
              <w:t xml:space="preserve">Corneal Topography Mapping. Detailed analysis of the corneal surface curvature to detect irregularities, astigmatism, and keratoconus. Essential for contact lens fitting and refractive surgery planning.</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OPH-005</w:t>
            </w:r>
          </w:p>
        </w:tc>
        <w:tc>
          <w:tcPr/>
          <w:p>
            <w:pPr>
              <w:pStyle w:val="Compact"/>
              <w:jc w:val="left"/>
            </w:pPr>
            <w:r>
              <w:t xml:space="preserve">Prescription for Corrective Lenses. Professional determination of refractive error and prescription for eyeglasses or contact lenses based on comprehensive examination results.</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OPH-006</w:t>
            </w:r>
          </w:p>
        </w:tc>
        <w:tc>
          <w:tcPr/>
          <w:p>
            <w:pPr>
              <w:pStyle w:val="Compact"/>
              <w:jc w:val="left"/>
            </w:pPr>
            <w:r>
              <w:t xml:space="preserve">Follow-up Consultation for Post-Treatment Monitoring. Assessment of treatment efficacy and adjustment of therapeutic plan as needed for ongoing eye health management.</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OPH-007</w:t>
            </w:r>
          </w:p>
        </w:tc>
        <w:tc>
          <w:tcPr/>
          <w:p>
            <w:pPr>
              <w:pStyle w:val="Compact"/>
              <w:jc w:val="left"/>
            </w:pPr>
            <w:r>
              <w:t xml:space="preserve">Prescription Medications. Includes anti-inflammatory eye drops, lubricating drops, and antibiotic ointment as prescribed by the attending ophthalmologist for treatment of diagnosed conditions.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COP 1,350,000</w:t>
            </w:r>
          </w:p>
        </w:tc>
      </w:tr>
      <w:tr>
        <w:tc>
          <w:tcPr/>
          <w:p>
            <w:pPr>
              <w:pStyle w:val="Compact"/>
              <w:jc w:val="left"/>
            </w:pPr>
            <w:r>
              <w:t xml:space="preserve">IVA (19%):</w:t>
            </w:r>
          </w:p>
        </w:tc>
        <w:tc>
          <w:tcPr/>
          <w:p>
            <w:pPr>
              <w:pStyle w:val="Compact"/>
              <w:jc w:val="left"/>
            </w:pPr>
            <w:r>
              <w:t xml:space="preserve">COP 256,500</w:t>
            </w:r>
          </w:p>
        </w:tc>
      </w:tr>
      <w:tr>
        <w:tc>
          <w:tcPr/>
          <w:p>
            <w:pPr>
              <w:pStyle w:val="Compact"/>
              <w:jc w:val="left"/>
            </w:pPr>
            <w:r>
              <w:t xml:space="preserve">TOTAL AMOUNT DUE:</w:t>
            </w:r>
          </w:p>
        </w:tc>
        <w:tc>
          <w:tcPr/>
          <w:p>
            <w:pPr>
              <w:pStyle w:val="Compact"/>
              <w:jc w:val="left"/>
            </w:pPr>
            <w:r>
              <w:t xml:space="preserve">COP 1,606,500</w:t>
            </w:r>
          </w:p>
        </w:tc>
      </w:tr>
    </w:tbl>
    <w:bookmarkStart w:id="23" w:name="important-notes-and-payment-information"/>
    <w:p>
      <w:pPr>
        <w:pStyle w:val="Heading4"/>
      </w:pPr>
      <w:r>
        <w:t xml:space="preserve">Important Notes and Payment Information:</w:t>
      </w:r>
    </w:p>
    <w:p>
      <w:pPr>
        <w:pStyle w:val="FirstParagraph"/>
      </w:pPr>
      <w:r>
        <w:rPr>
          <w:bCs/>
          <w:b/>
        </w:rPr>
        <w:t xml:space="preserve">Payment Methods:</w:t>
      </w:r>
      <w:r>
        <w:t xml:space="preserve"> </w:t>
      </w:r>
      <w:r>
        <w:t xml:space="preserve">This invoice may be paid via bank transfer to Bancolombia, Account Number: 123-456789-00, or through credit/debit card at our clinic in Bogotá, Colombia. Electronic payments can be made through our secure online portal.</w:t>
      </w:r>
    </w:p>
    <w:p>
      <w:pPr>
        <w:pStyle w:val="BodyText"/>
      </w:pPr>
      <w:r>
        <w:rPr>
          <w:bCs/>
          <w:b/>
        </w:rPr>
        <w:t xml:space="preserve">Tax Information:</w:t>
      </w:r>
      <w:r>
        <w:t xml:space="preserve"> </w:t>
      </w:r>
      <w:r>
        <w:t xml:space="preserve">This invoice complies with the tax regulations of Colombia as established by the Dirección de Impuestos y Aduanas Nacionales (DIAN). The IVA (Value Added Tax) of 19% has been applied according to current Colombian tax law for medical services not covered by the public health system.</w:t>
      </w:r>
    </w:p>
    <w:p>
      <w:pPr>
        <w:pStyle w:val="BodyText"/>
      </w:pPr>
      <w:r>
        <w:rPr>
          <w:bCs/>
          <w:b/>
        </w:rPr>
        <w:t xml:space="preserve">Insurance Claims:</w:t>
      </w:r>
      <w:r>
        <w:t xml:space="preserve"> </w:t>
      </w:r>
      <w:r>
        <w:t xml:space="preserve">For patients with private health insurance in Colombia, this invoice can be submitted to your EPS or complementary health plan for reimbursement according to your policy terms. Please retain this document for your records and insurance claims.</w:t>
      </w:r>
    </w:p>
    <w:p>
      <w:pPr>
        <w:pStyle w:val="BodyText"/>
      </w:pPr>
      <w:r>
        <w:rPr>
          <w:bCs/>
          <w:b/>
        </w:rPr>
        <w:t xml:space="preserve">Medical Records:</w:t>
      </w:r>
      <w:r>
        <w:t xml:space="preserve"> </w:t>
      </w:r>
      <w:r>
        <w:t xml:space="preserve">All ophthalmological examinations and procedures documented in this invoice are part of your permanent medical record at Clínica Visión Bogotá. You have the right to access your complete medical records in accordance with Colombian health regulations.</w:t>
      </w:r>
    </w:p>
    <w:p>
      <w:pPr>
        <w:pStyle w:val="BodyText"/>
      </w:pPr>
      <w:r>
        <w:rPr>
          <w:bCs/>
          <w:b/>
        </w:rPr>
        <w:t xml:space="preserve">Follow-up Care:</w:t>
      </w:r>
      <w:r>
        <w:t xml:space="preserve"> </w:t>
      </w:r>
      <w:r>
        <w:t xml:space="preserve">Our ophthalmology team in Bogotá recommends regular eye examinations every 12-24 months for adults, or more frequently if you have specific eye conditions. Early detection and treatment are crucial for maintaining optimal vision health.</w:t>
      </w:r>
    </w:p>
    <w:p>
      <w:pPr>
        <w:pStyle w:val="BodyText"/>
      </w:pPr>
      <w:r>
        <w:rPr>
          <w:bCs/>
          <w:b/>
        </w:rPr>
        <w:t xml:space="preserve">Contact Information:</w:t>
      </w:r>
      <w:r>
        <w:t xml:space="preserve"> </w:t>
      </w:r>
      <w:r>
        <w:t xml:space="preserve">For any questions regarding this invoice or your ophthalmological care, please contact our billing department at +57 (1) 234 5678 or visit our clinic during business hours: Monday to Friday, 8:00 AM - 6:00 PM; Saturday, 8:00 AM - 1:00 PM.</w:t>
      </w:r>
    </w:p>
    <w:p>
      <w:pPr>
        <w:pStyle w:val="BodyText"/>
      </w:pPr>
      <w:r>
        <w:rPr>
          <w:bCs/>
          <w:b/>
        </w:rPr>
        <w:t xml:space="preserve">Legal Notice:</w:t>
      </w:r>
      <w:r>
        <w:t xml:space="preserve"> </w:t>
      </w:r>
      <w:r>
        <w:t xml:space="preserve">This invoice represents the professional services rendered by licensed ophthalmologists registered with the Colombian Medical Council. All services were provided in compliance with the ethical and professional standards established for medical practice in Colombia.</w:t>
      </w:r>
    </w:p>
    <w:bookmarkEnd w:id="23"/>
    <w:p>
      <w:pPr>
        <w:pStyle w:val="BodyText"/>
      </w:pPr>
      <w:r>
        <w:rPr>
          <w:bCs/>
          <w:b/>
        </w:rPr>
        <w:t xml:space="preserve">Dr. Carlos Andrés Martínez</w:t>
      </w:r>
    </w:p>
    <w:p>
      <w:pPr>
        <w:pStyle w:val="BodyText"/>
      </w:pPr>
      <w:r>
        <w:t xml:space="preserve">Lead Ophthalmologist</w:t>
      </w:r>
    </w:p>
    <w:p>
      <w:pPr>
        <w:pStyle w:val="BodyText"/>
      </w:pPr>
      <w:r>
        <w:t xml:space="preserve">License No.: 12345678</w:t>
      </w:r>
    </w:p>
    <w:p>
      <w:pPr>
        <w:pStyle w:val="BodyText"/>
      </w:pPr>
      <w:r>
        <w:t xml:space="preserve">Colombian Medical Council</w:t>
      </w:r>
    </w:p>
    <w:p>
      <w:pPr>
        <w:pStyle w:val="BodyText"/>
      </w:pPr>
      <w:r>
        <w:rPr>
          <w:bCs/>
          <w:b/>
        </w:rPr>
        <w:t xml:space="preserve">Financial Department</w:t>
      </w:r>
    </w:p>
    <w:p>
      <w:pPr>
        <w:pStyle w:val="BodyText"/>
      </w:pPr>
      <w:r>
        <w:t xml:space="preserve">Clínica Visión Bogotá</w:t>
      </w:r>
    </w:p>
    <w:p>
      <w:pPr>
        <w:pStyle w:val="BodyText"/>
      </w:pPr>
      <w:r>
        <w:t xml:space="preserve">Authorized Signature</w:t>
      </w:r>
    </w:p>
    <w:p>
      <w:pPr>
        <w:pStyle w:val="BodyText"/>
      </w:pPr>
      <w:r>
        <w:t xml:space="preserve">Clínica Visión Bogotá - Specialized Ophthalmology Center | Bogotá D.C., Colombia</w:t>
      </w:r>
    </w:p>
    <w:p>
      <w:pPr>
        <w:pStyle w:val="BodyText"/>
      </w:pPr>
      <w:r>
        <w:t xml:space="preserve">This document is a valid invoice for tax and accounting purposes in Colombia.</w:t>
      </w:r>
    </w:p>
    <w:p>
      <w:pPr>
        <w:pStyle w:val="BodyText"/>
      </w:pPr>
      <w:r>
        <w:t xml:space="preserve">Generated on: October 24, 2024 | Invoice Reference: INV-2024-0892</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Ophthalmology Services - Bogotá, Colombia</dc:title>
  <dc:creator/>
  <dc:language>en</dc:language>
  <cp:keywords/>
  <dcterms:created xsi:type="dcterms:W3CDTF">2026-10-10T08:42:56Z</dcterms:created>
  <dcterms:modified xsi:type="dcterms:W3CDTF">2026-10-10T08:42:56Z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