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Practice</w:t>
      </w:r>
      <w:r>
        <w:t xml:space="preserve"> </w:t>
      </w:r>
      <w:r>
        <w:t xml:space="preserve">Frankfurt</w:t>
      </w:r>
    </w:p>
    <w:bookmarkStart w:id="21" w:name="dr.-med.-elena-weber"/>
    <w:p>
      <w:pPr>
        <w:pStyle w:val="Heading1"/>
      </w:pPr>
      <w:r>
        <w:t xml:space="preserve">Dr. med. Elena Weber</w:t>
      </w:r>
    </w:p>
    <w:bookmarkStart w:id="20" w:name="specialist-ophthalmologist-eye-surgeon"/>
    <w:p>
      <w:pPr>
        <w:pStyle w:val="Heading2"/>
      </w:pPr>
      <w:r>
        <w:t xml:space="preserve">Specialist Ophthalmologist &amp; Eye Surgeon</w:t>
      </w:r>
    </w:p>
    <w:p>
      <w:pPr>
        <w:pStyle w:val="FirstParagraph"/>
      </w:pPr>
      <w:r>
        <w:t xml:space="preserve">Frankfurt Eye Center</w:t>
      </w:r>
      <w:r>
        <w:br/>
      </w:r>
      <w:r>
        <w:t xml:space="preserve">Zeil 108</w:t>
      </w:r>
      <w:r>
        <w:br/>
      </w:r>
      <w:r>
        <w:t xml:space="preserve">60313 Frankfurt am Main</w:t>
      </w:r>
      <w:r>
        <w:br/>
      </w:r>
      <w:r>
        <w:t xml:space="preserve">Germany</w:t>
      </w:r>
    </w:p>
    <w:p>
      <w:pPr>
        <w:pStyle w:val="BodyText"/>
      </w:pPr>
      <w:r>
        <w:t xml:space="preserve">Phone: +49 (0) 69 1234 5678</w:t>
      </w:r>
      <w:r>
        <w:br/>
      </w:r>
      <w:r>
        <w:t xml:space="preserve">Email: office@frankfurt-eye-center.de</w:t>
      </w:r>
      <w:r>
        <w:br/>
      </w:r>
      <w:r>
        <w:t xml:space="preserve">VAT ID: DE 123 456 789</w:t>
      </w:r>
      <w:r>
        <w:br/>
      </w:r>
      <w:r>
        <w:t xml:space="preserve">License No.: 12345 (Ärztekammer Hessen)</w:t>
      </w:r>
    </w:p>
    <w:bookmarkEnd w:id="20"/>
    <w:bookmarkEnd w:id="21"/>
    <w:bookmarkStart w:id="22" w:name="invoice"/>
    <w:p>
      <w:pPr>
        <w:pStyle w:val="Heading3"/>
      </w:pPr>
      <w:r>
        <w:t xml:space="preserve">INVOICE</w:t>
      </w:r>
    </w:p>
    <w:p>
      <w:pPr>
        <w:pStyle w:val="FirstParagraph"/>
      </w:pPr>
      <w:r>
        <w:rPr>
          <w:bCs/>
          <w:b/>
        </w:rPr>
        <w:t xml:space="preserve">Invoice No:</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2"/>
    <w:p>
      <w:pPr>
        <w:pStyle w:val="BodyText"/>
      </w:pPr>
      <w:r>
        <w:t xml:space="preserve">Service Provider</w:t>
      </w:r>
    </w:p>
    <w:p>
      <w:pPr>
        <w:pStyle w:val="BodyText"/>
      </w:pPr>
      <w:r>
        <w:t xml:space="preserve">Dr. med. Elena Weber</w:t>
      </w:r>
      <w:r>
        <w:br/>
      </w:r>
      <w:r>
        <w:t xml:space="preserve">Frankfurt Eye Center</w:t>
      </w:r>
      <w:r>
        <w:br/>
      </w:r>
      <w:r>
        <w:t xml:space="preserve">Germany Frankfurt</w:t>
      </w:r>
    </w:p>
    <w:p>
      <w:pPr>
        <w:pStyle w:val="BodyText"/>
      </w:pPr>
      <w:r>
        <w:t xml:space="preserve">Bill To</w:t>
      </w:r>
    </w:p>
    <w:p>
      <w:pPr>
        <w:pStyle w:val="BodyText"/>
      </w:pPr>
      <w:r>
        <w:t xml:space="preserve">Mr. Thomas Müller</w:t>
      </w:r>
      <w:r>
        <w:br/>
      </w:r>
      <w:r>
        <w:t xml:space="preserve">Hauptstraße 45</w:t>
      </w:r>
      <w:r>
        <w:br/>
      </w:r>
      <w:r>
        <w:t xml:space="preserve">60329 Frankfurt am Main</w:t>
      </w:r>
      <w:r>
        <w:br/>
      </w:r>
      <w:r>
        <w:t xml:space="preserve">Germany</w:t>
      </w:r>
      <w:r>
        <w:br/>
      </w:r>
      <w:r>
        <w:t xml:space="preserve">Insurance: AOK Hessen</w:t>
      </w:r>
      <w:r>
        <w:br/>
      </w:r>
      <w:r>
        <w:t xml:space="preserve">Policy No: 987654321</w:t>
      </w:r>
    </w:p>
    <w:p>
      <w:pPr>
        <w:pStyle w:val="BodyText"/>
      </w:pPr>
      <w:r>
        <w:t xml:space="preserve">Dear Mr. Müller,</w:t>
      </w:r>
    </w:p>
    <w:p>
      <w:pPr>
        <w:pStyle w:val="BodyText"/>
      </w:pPr>
      <w:r>
        <w:t xml:space="preserve">Thank you for choosing our practice for your eye care needs. This invoice details the ophthalmological services provided to you on October 20, 2023, at our clinic in Germany Frankfurt. As a certified Ophthalmologist, Dr. Weber ensures that all diagnostic procedures and treatments adhere to the highest standards of medical excellence recognized in Germany.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Ophthalmological Services</w:t>
            </w:r>
          </w:p>
        </w:tc>
        <w:tc>
          <w:tcPr/>
          <w:p>
            <w:pPr>
              <w:pStyle w:val="Compact"/>
              <w:jc w:val="left"/>
            </w:pPr>
            <w:r>
              <w:t xml:space="preserve">Code</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Comprehensive Ophthalmological Examination</w:t>
            </w:r>
            <w:r>
              <w:br/>
            </w:r>
            <w:r>
              <w:t xml:space="preserve">Initial consultation including medical history review, visual acuity testing, and slit-lamp examination of the anterior segment.</w:t>
            </w:r>
          </w:p>
        </w:tc>
        <w:tc>
          <w:tcPr/>
          <w:p>
            <w:pPr>
              <w:pStyle w:val="Compact"/>
              <w:jc w:val="left"/>
            </w:pPr>
            <w:r>
              <w:t xml:space="preserve">01700</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2</w:t>
            </w:r>
          </w:p>
        </w:tc>
        <w:tc>
          <w:tcPr/>
          <w:p>
            <w:pPr>
              <w:pStyle w:val="Compact"/>
              <w:jc w:val="left"/>
            </w:pPr>
            <w:r>
              <w:rPr>
                <w:bCs/>
                <w:b/>
              </w:rPr>
              <w:t xml:space="preserve">Dilated Fundus Examination</w:t>
            </w:r>
            <w:r>
              <w:br/>
            </w:r>
            <w:r>
              <w:t xml:space="preserve">Detailed inspection of the retina, optic nerve, and macula using mydriatic drops to assess ocular health.</w:t>
            </w:r>
          </w:p>
        </w:tc>
        <w:tc>
          <w:tcPr/>
          <w:p>
            <w:pPr>
              <w:pStyle w:val="Compact"/>
              <w:jc w:val="left"/>
            </w:pPr>
            <w:r>
              <w:t xml:space="preserve">01710</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3</w:t>
            </w:r>
          </w:p>
        </w:tc>
        <w:tc>
          <w:tcPr/>
          <w:p>
            <w:pPr>
              <w:pStyle w:val="Compact"/>
              <w:jc w:val="left"/>
            </w:pPr>
            <w:r>
              <w:rPr>
                <w:bCs/>
                <w:b/>
              </w:rPr>
              <w:t xml:space="preserve">Optical Coherence Tomography (OCT)</w:t>
            </w:r>
            <w:r>
              <w:br/>
            </w:r>
            <w:r>
              <w:t xml:space="preserve">Non-invasive imaging test that uses light waves to take cross-section pictures of your retina.</w:t>
            </w:r>
          </w:p>
        </w:tc>
        <w:tc>
          <w:tcPr/>
          <w:p>
            <w:pPr>
              <w:pStyle w:val="Compact"/>
              <w:jc w:val="left"/>
            </w:pPr>
            <w:r>
              <w:t xml:space="preserve">01730</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4</w:t>
            </w:r>
          </w:p>
        </w:tc>
        <w:tc>
          <w:tcPr/>
          <w:p>
            <w:pPr>
              <w:pStyle w:val="Compact"/>
              <w:jc w:val="left"/>
            </w:pPr>
            <w:r>
              <w:rPr>
                <w:bCs/>
                <w:b/>
              </w:rPr>
              <w:t xml:space="preserve">Intraocular Pressure Measurement (Tonometry)</w:t>
            </w:r>
            <w:r>
              <w:br/>
            </w:r>
            <w:r>
              <w:t xml:space="preserve">Screening for glaucoma and monitoring of eye pressure levels.</w:t>
            </w:r>
          </w:p>
        </w:tc>
        <w:tc>
          <w:tcPr/>
          <w:p>
            <w:pPr>
              <w:pStyle w:val="Compact"/>
              <w:jc w:val="left"/>
            </w:pPr>
            <w:r>
              <w:t xml:space="preserve">01720</w:t>
            </w:r>
          </w:p>
        </w:tc>
        <w:tc>
          <w:tcPr/>
          <w:p>
            <w:pPr>
              <w:pStyle w:val="Compact"/>
              <w:jc w:val="left"/>
            </w:pPr>
            <w:r>
              <w:t xml:space="preserve">20.00</w:t>
            </w:r>
          </w:p>
        </w:tc>
        <w:tc>
          <w:tcPr/>
          <w:p>
            <w:pPr>
              <w:pStyle w:val="Compact"/>
              <w:jc w:val="left"/>
            </w:pPr>
            <w:r>
              <w:t xml:space="preserve">20.00</w:t>
            </w:r>
          </w:p>
        </w:tc>
      </w:tr>
      <w:tr>
        <w:tc>
          <w:tcPr/>
          <w:p>
            <w:pPr>
              <w:pStyle w:val="Compact"/>
              <w:jc w:val="left"/>
            </w:pPr>
            <w:r>
              <w:t xml:space="preserve">5</w:t>
            </w:r>
          </w:p>
        </w:tc>
        <w:tc>
          <w:tcPr/>
          <w:p>
            <w:pPr>
              <w:pStyle w:val="Compact"/>
              <w:jc w:val="left"/>
            </w:pPr>
            <w:r>
              <w:rPr>
                <w:bCs/>
                <w:b/>
              </w:rPr>
              <w:t xml:space="preserve">Prescription for Corrective Lenses</w:t>
            </w:r>
            <w:r>
              <w:br/>
            </w:r>
            <w:r>
              <w:t xml:space="preserve">Detailed prescription for glasses based on refraction results.</w:t>
            </w:r>
          </w:p>
        </w:tc>
        <w:tc>
          <w:tcPr/>
          <w:p>
            <w:pPr>
              <w:pStyle w:val="Compact"/>
              <w:jc w:val="left"/>
            </w:pPr>
            <w:r>
              <w:t xml:space="preserve">01740</w:t>
            </w:r>
          </w:p>
        </w:tc>
        <w:tc>
          <w:tcPr/>
          <w:p>
            <w:pPr>
              <w:pStyle w:val="Compact"/>
              <w:jc w:val="left"/>
            </w:pPr>
            <w:r>
              <w:t xml:space="preserve">15.00</w:t>
            </w:r>
          </w:p>
        </w:tc>
        <w:tc>
          <w:tcPr/>
          <w:p>
            <w:pPr>
              <w:pStyle w:val="Compact"/>
              <w:jc w:val="left"/>
            </w:pPr>
            <w:r>
              <w:t xml:space="preserve">15.00</w:t>
            </w:r>
          </w:p>
        </w:tc>
      </w:tr>
    </w:tbl>
    <w:p>
      <w:pPr>
        <w:pStyle w:val="BodyText"/>
      </w:pPr>
      <w:r>
        <w:t xml:space="preserve">Subtotal</w:t>
      </w:r>
      <w:r>
        <w:t xml:space="preserve"> </w:t>
      </w:r>
      <w:r>
        <w:t xml:space="preserve">200.00 €</w:t>
      </w:r>
    </w:p>
    <w:p>
      <w:pPr>
        <w:pStyle w:val="BodyText"/>
      </w:pPr>
      <w:r>
        <w:t xml:space="preserve">VAT (19%)</w:t>
      </w:r>
      <w:r>
        <w:t xml:space="preserve"> </w:t>
      </w:r>
      <w:r>
        <w:t xml:space="preserve">38.00 €</w:t>
      </w:r>
    </w:p>
    <w:p>
      <w:pPr>
        <w:pStyle w:val="BodyText"/>
      </w:pPr>
      <w:r>
        <w:t xml:space="preserve">Total Amount Due</w:t>
      </w:r>
      <w:r>
        <w:t xml:space="preserve"> </w:t>
      </w:r>
      <w:r>
        <w:t xml:space="preserve">238.00 €</w:t>
      </w:r>
    </w:p>
    <w:p>
      <w:pPr>
        <w:pStyle w:val="BodyText"/>
      </w:pPr>
      <w:r>
        <w:t xml:space="preserve">Payment Instructions</w:t>
      </w:r>
    </w:p>
    <w:p>
      <w:pPr>
        <w:pStyle w:val="BodyText"/>
      </w:pPr>
      <w:r>
        <w:t xml:space="preserve">Please transfer the total amount to the following bank account within 30 days of the invoice date.</w:t>
      </w:r>
    </w:p>
    <w:p>
      <w:pPr>
        <w:numPr>
          <w:ilvl w:val="0"/>
          <w:numId w:val="1001"/>
        </w:numPr>
        <w:pStyle w:val="Compact"/>
      </w:pPr>
      <w:r>
        <w:rPr>
          <w:bCs/>
          <w:b/>
        </w:rPr>
        <w:t xml:space="preserve">Bank Name:</w:t>
      </w:r>
      <w:r>
        <w:t xml:space="preserve"> </w:t>
      </w:r>
      <w:r>
        <w:t xml:space="preserve">Commerzbank AG</w:t>
      </w:r>
    </w:p>
    <w:p>
      <w:pPr>
        <w:numPr>
          <w:ilvl w:val="0"/>
          <w:numId w:val="1001"/>
        </w:numPr>
        <w:pStyle w:val="Compact"/>
      </w:pPr>
      <w:r>
        <w:rPr>
          <w:bCs/>
          <w:b/>
        </w:rPr>
        <w:t xml:space="preserve">IBAN:</w:t>
      </w:r>
      <w:r>
        <w:t xml:space="preserve"> </w:t>
      </w:r>
      <w:r>
        <w:t xml:space="preserve">DE89 5004 0000 0012 3456 78</w:t>
      </w:r>
    </w:p>
    <w:p>
      <w:pPr>
        <w:numPr>
          <w:ilvl w:val="0"/>
          <w:numId w:val="1001"/>
        </w:numPr>
        <w:pStyle w:val="Compact"/>
      </w:pPr>
      <w:r>
        <w:rPr>
          <w:bCs/>
          <w:b/>
        </w:rPr>
        <w:t xml:space="preserve">BIC:</w:t>
      </w:r>
      <w:r>
        <w:t xml:space="preserve"> </w:t>
      </w:r>
      <w:r>
        <w:t xml:space="preserve">COBADEFFXXX</w:t>
      </w:r>
    </w:p>
    <w:p>
      <w:pPr>
        <w:numPr>
          <w:ilvl w:val="0"/>
          <w:numId w:val="1001"/>
        </w:numPr>
        <w:pStyle w:val="Compact"/>
      </w:pPr>
      <w:r>
        <w:rPr>
          <w:bCs/>
          <w:b/>
        </w:rPr>
        <w:t xml:space="preserve">Reference:</w:t>
      </w:r>
      <w:r>
        <w:t xml:space="preserve"> </w:t>
      </w:r>
      <w:r>
        <w:t xml:space="preserve">INV-2023-10-045</w:t>
      </w:r>
    </w:p>
    <w:bookmarkStart w:id="23" w:name="important-notes"/>
    <w:p>
      <w:pPr>
        <w:pStyle w:val="Heading4"/>
      </w:pPr>
      <w:r>
        <w:t xml:space="preserve">Important Notes</w:t>
      </w:r>
    </w:p>
    <w:p>
      <w:pPr>
        <w:pStyle w:val="FirstParagraph"/>
      </w:pPr>
      <w:r>
        <w:t xml:space="preserve">This invoice is issued in accordance with German tax laws and regulations. As an Ophthalmologist practicing in Germany Frankfurt, we are committed to providing transparent billing for all medical services. If you have private health insurance, please submit this invoice directly to your provider for reimbursement. For statutory health insurance (GKV), please note that some diagnostic procedures may be subject to co-payment (Zuzahlung).</w:t>
      </w:r>
    </w:p>
    <w:p>
      <w:pPr>
        <w:pStyle w:val="BodyText"/>
      </w:pPr>
      <w:r>
        <w:t xml:space="preserve">Please retain this document for your records. If you have any questions regarding the charges or the services provided, please contact our office during business hours (Monday to Friday, 8:00 AM - 6:00 PM).</w:t>
      </w:r>
    </w:p>
    <w:bookmarkEnd w:id="23"/>
    <w:p>
      <w:pPr>
        <w:pStyle w:val="BodyText"/>
      </w:pPr>
      <w:r>
        <w:rPr>
          <w:bCs/>
          <w:b/>
        </w:rPr>
        <w:t xml:space="preserve">Legal Disclaimer:</w:t>
      </w:r>
      <w:r>
        <w:t xml:space="preserve"> </w:t>
      </w:r>
      <w:r>
        <w:t xml:space="preserve">This invoice is generated electronically and is legally binding without a physical signature. The services described herein were performed by qualified medical professionals at the Frankfurt Eye Center. All prices include applicable VAT unless otherwise stated. In case of any discrepancies, please notify us within 14 days of receiving this invoice. We reserve the right to charge interest on overdue payments in accordance with German commercial law (§ 288 BGB).</w:t>
      </w:r>
    </w:p>
    <w:p>
      <w:pPr>
        <w:pStyle w:val="BodyText"/>
      </w:pPr>
      <w:r>
        <w:rPr>
          <w:bCs/>
          <w:b/>
        </w:rPr>
        <w:t xml:space="preserve">Data Protection:</w:t>
      </w:r>
      <w:r>
        <w:t xml:space="preserve"> </w:t>
      </w:r>
      <w:r>
        <w:t xml:space="preserve">Your personal data is processed in accordance with the General Data Protection Regulation (GDPR) and the German Federal Data Protection Act (BDSG). Your information is used solely for billing and medical record-keeping purposes.</w:t>
      </w:r>
    </w:p>
    <w:p>
      <w:pPr>
        <w:pStyle w:val="BodyText"/>
      </w:pPr>
      <w:r>
        <w:t xml:space="preserve">Thank you for trusting our expertise in ophthalmology. We wish you continued good eye health.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Practice Frankfurt</dc:title>
  <dc:creator/>
  <dc:language>en</dc:language>
  <cp:keywords/>
  <dcterms:created xsi:type="dcterms:W3CDTF">2026-10-10T06:23:09Z</dcterms:created>
  <dcterms:modified xsi:type="dcterms:W3CDTF">2026-10-10T06:23:09Z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