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studio-oculistico-roma-centro"/>
    <w:p>
      <w:pPr>
        <w:pStyle w:val="Heading1"/>
      </w:pPr>
      <w:r>
        <w:t xml:space="preserve">Studio Oculistico Roma Centro</w:t>
      </w:r>
    </w:p>
    <w:p>
      <w:pPr>
        <w:pStyle w:val="FirstParagraph"/>
      </w:pPr>
      <w:r>
        <w:rPr>
          <w:bCs/>
          <w:b/>
        </w:rPr>
        <w:t xml:space="preserve">Dr. Alessandro Rossi, MD - Specialist in Ophthalmology</w:t>
      </w:r>
    </w:p>
    <w:p>
      <w:pPr>
        <w:pStyle w:val="BodyText"/>
      </w:pPr>
      <w:r>
        <w:t xml:space="preserve">Via del Corso, 124, 00186 Roma RM, Italy</w:t>
      </w:r>
    </w:p>
    <w:p>
      <w:pPr>
        <w:pStyle w:val="BodyText"/>
      </w:pPr>
      <w:r>
        <w:t xml:space="preserve">P.IVA / CF: IT01234567890</w:t>
      </w:r>
    </w:p>
    <w:p>
      <w:pPr>
        <w:pStyle w:val="BodyText"/>
      </w:pPr>
      <w:r>
        <w:t xml:space="preserve">Email: info@studiooculisticroma.it | Tel: +39 06 1234 5678</w:t>
      </w:r>
    </w:p>
    <w:p>
      <w:pPr>
        <w:pStyle w:val="BodyText"/>
      </w:pPr>
      <w:r>
        <w:t xml:space="preserve">PEC: dr.rossi@pec.it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Signora Maria Bianchi</w:t>
      </w:r>
    </w:p>
    <w:p>
      <w:pPr>
        <w:pStyle w:val="BodyText"/>
      </w:pPr>
      <w:r>
        <w:t xml:space="preserve">Via Nazionale, 45</w:t>
      </w:r>
    </w:p>
    <w:p>
      <w:pPr>
        <w:pStyle w:val="BodyText"/>
      </w:pPr>
      <w:r>
        <w:t xml:space="preserve">00184 Roma RM, Italy</w:t>
      </w:r>
    </w:p>
    <w:p>
      <w:pPr>
        <w:pStyle w:val="BodyText"/>
      </w:pPr>
      <w:r>
        <w:t xml:space="preserve">CF: BNCMRA80A01F205X</w:t>
      </w:r>
    </w:p>
    <w:p>
      <w:pPr>
        <w:pStyle w:val="BodyText"/>
      </w:pPr>
      <w:r>
        <w:t xml:space="preserve">Tel: +39 333 123 4567</w:t>
      </w:r>
    </w:p>
    <w:bookmarkEnd w:id="22"/>
    <w:bookmarkStart w:id="23" w:name="service-details"/>
    <w:p>
      <w:pPr>
        <w:pStyle w:val="Heading3"/>
      </w:pPr>
      <w:r>
        <w:t xml:space="preserve">Service Details</w:t>
      </w:r>
    </w:p>
    <w:p>
      <w:pPr>
        <w:pStyle w:val="FirstParagraph"/>
      </w:pPr>
      <w:r>
        <w:rPr>
          <w:bCs/>
          <w:b/>
        </w:rPr>
        <w:t xml:space="preserve">Patient Name:</w:t>
      </w:r>
      <w:r>
        <w:t xml:space="preserve"> </w:t>
      </w:r>
      <w:r>
        <w:t xml:space="preserve">Maria Bianchi</w:t>
      </w:r>
    </w:p>
    <w:p>
      <w:pPr>
        <w:pStyle w:val="BodyText"/>
      </w:pPr>
      <w:r>
        <w:rPr>
          <w:bCs/>
          <w:b/>
        </w:rPr>
        <w:t xml:space="preserve">Date of Service:</w:t>
      </w:r>
      <w:r>
        <w:t xml:space="preserve"> </w:t>
      </w:r>
      <w:r>
        <w:t xml:space="preserve">October 20, 2023</w:t>
      </w:r>
    </w:p>
    <w:p>
      <w:pPr>
        <w:pStyle w:val="BodyText"/>
      </w:pPr>
      <w:r>
        <w:rPr>
          <w:bCs/>
          <w:b/>
        </w:rPr>
        <w:t xml:space="preserve">Diagnosis Code (ICD-10):</w:t>
      </w:r>
      <w:r>
        <w:t xml:space="preserve"> </w:t>
      </w:r>
      <w:r>
        <w:t xml:space="preserve">H40.10 (Primary open-angle glaucoma, unspecified eye)</w:t>
      </w:r>
    </w:p>
    <w:p>
      <w:pPr>
        <w:pStyle w:val="BodyText"/>
      </w:pPr>
      <w:r>
        <w:rPr>
          <w:bCs/>
          <w:b/>
        </w:rPr>
        <w:t xml:space="preserve">Referring Physician:</w:t>
      </w:r>
      <w:r>
        <w:t xml:space="preserve"> </w:t>
      </w:r>
      <w:r>
        <w:t xml:space="preserve">Dr. Luca Verdi (Medico di Base)</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Code (SSN/Private)</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biomicroscopy, and intraocular pressure measurement (tonometry). This initial consultation was conducted at our clinic in Rome to assess the patient's visual health status and identify early signs of ocular pathology.</w:t>
            </w:r>
          </w:p>
        </w:tc>
        <w:tc>
          <w:tcPr/>
          <w:p>
            <w:pPr>
              <w:pStyle w:val="Compact"/>
              <w:jc w:val="left"/>
            </w:pPr>
            <w:r>
              <w:t xml:space="preserve">01.01.01</w:t>
            </w:r>
          </w:p>
        </w:tc>
        <w:tc>
          <w:tcPr/>
          <w:p>
            <w:pPr>
              <w:pStyle w:val="Compact"/>
              <w:jc w:val="left"/>
            </w:pPr>
            <w:r>
              <w:t xml:space="preserve">€ 85.00</w:t>
            </w:r>
          </w:p>
        </w:tc>
      </w:tr>
      <w:tr>
        <w:tc>
          <w:tcPr/>
          <w:p>
            <w:pPr>
              <w:pStyle w:val="Compact"/>
              <w:jc w:val="left"/>
            </w:pPr>
            <w:r>
              <w:t xml:space="preserve">2</w:t>
            </w:r>
          </w:p>
        </w:tc>
        <w:tc>
          <w:tcPr/>
          <w:p>
            <w:pPr>
              <w:pStyle w:val="Compact"/>
              <w:jc w:val="left"/>
            </w:pPr>
            <w:r>
              <w:rPr>
                <w:bCs/>
                <w:b/>
              </w:rPr>
              <w:t xml:space="preserve">Dilated Fundus Examination</w:t>
            </w:r>
            <w:r>
              <w:br/>
            </w:r>
            <w:r>
              <w:t xml:space="preserve">Pharmacological mydriasis followed by indirect ophthalmoscopy to evaluate the retina, optic nerve head, and macula. Essential for monitoring glaucomatous changes and retinal integrity in patients residing in the Rome metropolitan area.</w:t>
            </w:r>
          </w:p>
        </w:tc>
        <w:tc>
          <w:tcPr/>
          <w:p>
            <w:pPr>
              <w:pStyle w:val="Compact"/>
              <w:jc w:val="left"/>
            </w:pPr>
            <w:r>
              <w:t xml:space="preserve">01.02.03</w:t>
            </w:r>
          </w:p>
        </w:tc>
        <w:tc>
          <w:tcPr/>
          <w:p>
            <w:pPr>
              <w:pStyle w:val="Compact"/>
              <w:jc w:val="left"/>
            </w:pPr>
            <w:r>
              <w:t xml:space="preserve">€ 45.00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and optic nerve fiber layer. This advanced diagnostic procedure is critical for precise measurement of retinal thickness and detection of subtle structural abnormalities.</w:t>
            </w:r>
          </w:p>
        </w:tc>
        <w:tc>
          <w:tcPr/>
          <w:p>
            <w:pPr>
              <w:pStyle w:val="Compact"/>
              <w:jc w:val="left"/>
            </w:pPr>
            <w:r>
              <w:t xml:space="preserve">01.05.02</w:t>
            </w:r>
          </w:p>
        </w:tc>
        <w:tc>
          <w:tcPr/>
          <w:p>
            <w:pPr>
              <w:pStyle w:val="Compact"/>
              <w:jc w:val="left"/>
            </w:pPr>
            <w:r>
              <w:t xml:space="preserve">€ 120.00</w:t>
            </w:r>
          </w:p>
        </w:tc>
      </w:tr>
      <w:tr>
        <w:tc>
          <w:tcPr/>
          <w:p>
            <w:pPr>
              <w:pStyle w:val="Compact"/>
              <w:jc w:val="left"/>
            </w:pPr>
            <w:r>
              <w:t xml:space="preserve">4</w:t>
            </w:r>
          </w:p>
        </w:tc>
        <w:tc>
          <w:tcPr/>
          <w:p>
            <w:pPr>
              <w:pStyle w:val="Compact"/>
              <w:jc w:val="left"/>
            </w:pPr>
            <w:r>
              <w:rPr>
                <w:bCs/>
                <w:b/>
              </w:rPr>
              <w:t xml:space="preserve">Visual Field Test (Perimetry)</w:t>
            </w:r>
            <w:r>
              <w:br/>
            </w:r>
            <w:r>
              <w:t xml:space="preserve">Automated static perimetry (Humphrey Field Analyzer) to map the patient's peripheral vision. This test is vital for diagnosing and monitoring the progression of glaucoma and other neurological conditions affecting vision.</w:t>
            </w:r>
          </w:p>
        </w:tc>
        <w:tc>
          <w:tcPr/>
          <w:p>
            <w:pPr>
              <w:pStyle w:val="Compact"/>
              <w:jc w:val="left"/>
            </w:pPr>
            <w:r>
              <w:t xml:space="preserve">01.04.01</w:t>
            </w:r>
          </w:p>
        </w:tc>
        <w:tc>
          <w:tcPr/>
          <w:p>
            <w:pPr>
              <w:pStyle w:val="Compact"/>
              <w:jc w:val="left"/>
            </w:pPr>
            <w:r>
              <w:t xml:space="preserve">€ 75.00</w:t>
            </w:r>
          </w:p>
        </w:tc>
      </w:tr>
      <w:tr>
        <w:tc>
          <w:tcPr/>
          <w:p>
            <w:pPr>
              <w:pStyle w:val="Compact"/>
              <w:jc w:val="left"/>
            </w:pPr>
            <w:r>
              <w:t xml:space="preserve">5</w:t>
            </w:r>
          </w:p>
        </w:tc>
        <w:tc>
          <w:tcPr/>
          <w:p>
            <w:pPr>
              <w:pStyle w:val="Compact"/>
              <w:jc w:val="left"/>
            </w:pPr>
            <w:r>
              <w:rPr>
                <w:bCs/>
                <w:b/>
              </w:rPr>
              <w:t xml:space="preserve">Corneal Topography</w:t>
            </w:r>
            <w:r>
              <w:br/>
            </w:r>
            <w:r>
              <w:t xml:space="preserve">Detailed mapping of the corneal surface curvature. Used to assess corneal shape, detect astigmatism, and screen for keratoconus. This service ensures accurate prescription data for corrective lenses.</w:t>
            </w:r>
          </w:p>
        </w:tc>
        <w:tc>
          <w:tcPr/>
          <w:p>
            <w:pPr>
              <w:pStyle w:val="Compact"/>
              <w:jc w:val="left"/>
            </w:pPr>
            <w:r>
              <w:t xml:space="preserve">01.03.05</w:t>
            </w:r>
          </w:p>
        </w:tc>
        <w:tc>
          <w:tcPr/>
          <w:p>
            <w:pPr>
              <w:pStyle w:val="Compact"/>
              <w:jc w:val="left"/>
            </w:pPr>
            <w:r>
              <w:t xml:space="preserve">€ 60.00</w:t>
            </w:r>
          </w:p>
        </w:tc>
      </w:tr>
      <w:tr>
        <w:tc>
          <w:tcPr/>
          <w:p>
            <w:pPr>
              <w:pStyle w:val="Compact"/>
              <w:jc w:val="left"/>
            </w:pPr>
            <w:r>
              <w:t xml:space="preserve">6</w:t>
            </w:r>
          </w:p>
        </w:tc>
        <w:tc>
          <w:tcPr/>
          <w:p>
            <w:pPr>
              <w:pStyle w:val="Compact"/>
              <w:jc w:val="left"/>
            </w:pPr>
            <w:r>
              <w:rPr>
                <w:bCs/>
                <w:b/>
              </w:rPr>
              <w:t xml:space="preserve">Prescription of Corrective Lenses</w:t>
            </w:r>
            <w:r>
              <w:br/>
            </w:r>
            <w:r>
              <w:t xml:space="preserve">Detailed prescription for bifocal glasses based on the refraction results obtained during the examination. Includes consultation on lens options suitable for the patient's lifestyle in Rome.</w:t>
            </w:r>
          </w:p>
        </w:tc>
        <w:tc>
          <w:tcPr/>
          <w:p>
            <w:pPr>
              <w:pStyle w:val="Compact"/>
              <w:jc w:val="left"/>
            </w:pPr>
            <w:r>
              <w:t xml:space="preserve">01.01.05</w:t>
            </w:r>
          </w:p>
        </w:tc>
        <w:tc>
          <w:tcPr/>
          <w:p>
            <w:pPr>
              <w:pStyle w:val="Compact"/>
              <w:jc w:val="left"/>
            </w:pPr>
            <w:r>
              <w:t xml:space="preserve">€ 25.00</w:t>
            </w:r>
          </w:p>
        </w:tc>
      </w:tr>
      <w:tr>
        <w:tc>
          <w:tcPr/>
          <w:p>
            <w:pPr>
              <w:pStyle w:val="Compact"/>
              <w:jc w:val="left"/>
            </w:pPr>
            <w:r>
              <w:t xml:space="preserve">7</w:t>
            </w:r>
          </w:p>
        </w:tc>
        <w:tc>
          <w:tcPr/>
          <w:p>
            <w:pPr>
              <w:pStyle w:val="Compact"/>
              <w:jc w:val="left"/>
            </w:pPr>
            <w:r>
              <w:rPr>
                <w:bCs/>
                <w:b/>
              </w:rPr>
              <w:t xml:space="preserve">Medical Report and Documentation</w:t>
            </w:r>
            <w:r>
              <w:br/>
            </w:r>
            <w:r>
              <w:t xml:space="preserve">Preparation of a detailed clinical report summarizing findings, diagnosis, and treatment plan. This document is required for insurance claims and coordination with the Italian National Health Service (SSN).</w:t>
            </w:r>
          </w:p>
        </w:tc>
        <w:tc>
          <w:tcPr/>
          <w:p>
            <w:pPr>
              <w:pStyle w:val="Compact"/>
              <w:jc w:val="left"/>
            </w:pPr>
            <w:r>
              <w:t xml:space="preserve">01.99.01</w:t>
            </w:r>
          </w:p>
        </w:tc>
        <w:tc>
          <w:tcPr/>
          <w:p>
            <w:pPr>
              <w:pStyle w:val="Compact"/>
              <w:jc w:val="left"/>
            </w:pPr>
            <w:r>
              <w:t xml:space="preserve">€ 30.00</w:t>
            </w:r>
          </w:p>
        </w:tc>
      </w:tr>
    </w:tbl>
    <w:p>
      <w:pPr>
        <w:pStyle w:val="BodyText"/>
      </w:pPr>
      <w:r>
        <w:t xml:space="preserve">Subtotal:</w:t>
      </w:r>
      <w:r>
        <w:t xml:space="preserve"> </w:t>
      </w:r>
      <w:r>
        <w:t xml:space="preserve">€ 440.00</w:t>
      </w:r>
    </w:p>
    <w:p>
      <w:pPr>
        <w:pStyle w:val="BodyText"/>
      </w:pPr>
      <w:r>
        <w:t xml:space="preserve">VAT (IVA 22%):</w:t>
      </w:r>
      <w:r>
        <w:t xml:space="preserve"> </w:t>
      </w:r>
      <w:r>
        <w:t xml:space="preserve">€ 96.80</w:t>
      </w:r>
    </w:p>
    <w:p>
      <w:pPr>
        <w:pStyle w:val="BodyText"/>
      </w:pPr>
      <w:r>
        <w:t xml:space="preserve">SSN Ticket (if applicable):</w:t>
      </w:r>
      <w:r>
        <w:t xml:space="preserve"> </w:t>
      </w:r>
      <w:r>
        <w:t xml:space="preserve">€ 0.00</w:t>
      </w:r>
    </w:p>
    <w:p>
      <w:pPr>
        <w:pStyle w:val="BodyText"/>
      </w:pPr>
      <w:r>
        <w:t xml:space="preserve">TOTAL DUE:</w:t>
      </w:r>
      <w:r>
        <w:t xml:space="preserve"> </w:t>
      </w:r>
      <w:r>
        <w:t xml:space="preserve">€ 536.80</w:t>
      </w:r>
    </w:p>
    <w:bookmarkStart w:id="24" w:name="payment-instructions"/>
    <w:p>
      <w:pPr>
        <w:pStyle w:val="Heading3"/>
      </w:pPr>
      <w:r>
        <w:t xml:space="preserve">Payment Instructions</w:t>
      </w:r>
    </w:p>
    <w:p>
      <w:pPr>
        <w:pStyle w:val="FirstParagraph"/>
      </w:pPr>
      <w:r>
        <w:t xml:space="preserve">Please make payment within 30 days of the invoice date. Payments can be made via bank transfer or credit card at our clinic in Rome.</w:t>
      </w:r>
    </w:p>
    <w:p>
      <w:pPr>
        <w:pStyle w:val="BodyText"/>
      </w:pPr>
      <w:r>
        <w:rPr>
          <w:bCs/>
          <w:b/>
        </w:rPr>
        <w:t xml:space="preserve">Bank Details:</w:t>
      </w:r>
    </w:p>
    <w:p>
      <w:pPr>
        <w:pStyle w:val="BodyText"/>
      </w:pPr>
      <w:r>
        <w:t xml:space="preserve">Bank: Banca Intesa Sanpaolo</w:t>
      </w:r>
    </w:p>
    <w:p>
      <w:pPr>
        <w:pStyle w:val="BodyText"/>
      </w:pPr>
      <w:r>
        <w:t xml:space="preserve">IBAN: IT60 X030 6909 6061 0000 0123 456</w:t>
      </w:r>
    </w:p>
    <w:p>
      <w:pPr>
        <w:pStyle w:val="BodyText"/>
      </w:pPr>
      <w:r>
        <w:t xml:space="preserve">BIC: BCITITMM</w:t>
      </w:r>
    </w:p>
    <w:p>
      <w:pPr>
        <w:pStyle w:val="BodyText"/>
      </w:pPr>
      <w:r>
        <w:t xml:space="preserve">Reference: Invoice 2023-10-045 - Bianchi Maria</w:t>
      </w:r>
    </w:p>
    <w:p>
      <w:pPr>
        <w:pStyle w:val="BodyText"/>
      </w:pPr>
      <w:r>
        <w:rPr>
          <w:iCs/>
          <w:i/>
        </w:rPr>
        <w:t xml:space="preserve">Note: For tax purposes in Italy, please retain this invoice as proof of payment for medical expenses. A portion of these costs may be deductible under Italian tax law (73% deduction for medical expenses over €129.11).</w:t>
      </w:r>
    </w:p>
    <w:bookmarkEnd w:id="24"/>
    <w:p>
      <w:pPr>
        <w:pStyle w:val="BodyText"/>
      </w:pPr>
      <w:r>
        <w:t xml:space="preserve">This invoice is issued in accordance with Italian legislation (D.Lgs. 46/2023 on electronic invoicing). For any questions regarding this invoice or your ophthalmological care, please contact our administrative office in Rome.</w:t>
      </w:r>
    </w:p>
    <w:p>
      <w:pPr>
        <w:pStyle w:val="BodyText"/>
      </w:pPr>
      <w:r>
        <w:t xml:space="preserve">Studio Oculistico Roma Centro is committed to providing the highest standard of eye care in Italy. All services are performed by licensed ophthalmologists adhering to the ethical guidelines of the Italian Medical Association.</w:t>
      </w:r>
    </w:p>
    <w:p>
      <w:pPr>
        <w:pStyle w:val="BodyText"/>
      </w:pPr>
      <w:r>
        <w:t xml:space="preserve">Privacy Notice: Your personal data is processed in compliance with GDPR (Regulation EU 2016/679) and Italian privacy laws for the purpose of medical care and billing.</w:t>
      </w:r>
    </w:p>
    <w:p>
      <w:pPr>
        <w:pStyle w:val="BodyText"/>
      </w:pPr>
      <w:r>
        <w:t xml:space="preserve">Authorized Signature:</w:t>
      </w:r>
    </w:p>
    <w:p>
      <w:pPr>
        <w:pStyle w:val="BodyText"/>
      </w:pPr>
      <w:r>
        <w:br/>
      </w:r>
    </w:p>
    <w:p>
      <w:pPr>
        <w:pStyle w:val="BodyText"/>
      </w:pPr>
      <w:r>
        <w:t xml:space="preserve">Dr. Alessandro Rossi</w:t>
      </w:r>
    </w:p>
    <w:p>
      <w:pPr>
        <w:pStyle w:val="BodyText"/>
      </w:pPr>
      <w:r>
        <w:t xml:space="preserve">Ophthalmologist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Rome, Italy</dc:title>
  <dc:creator/>
  <dc:language>en</dc:language>
  <cp:keywords/>
  <dcterms:created xsi:type="dcterms:W3CDTF">2026-10-10T08:03:04Z</dcterms:created>
  <dcterms:modified xsi:type="dcterms:W3CDTF">2026-10-10T08:03:04Z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