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shinjuku-vision-care-center"/>
    <w:p>
      <w:pPr>
        <w:pStyle w:val="Heading1"/>
      </w:pPr>
      <w:r>
        <w:t xml:space="preserve">Shinjuku Vision Care Center</w:t>
      </w:r>
    </w:p>
    <w:p>
      <w:pPr>
        <w:pStyle w:val="FirstParagraph"/>
      </w:pPr>
      <w:r>
        <w:t xml:space="preserve">Specialized Ophthalmology Clinic</w:t>
      </w:r>
    </w:p>
    <w:p>
      <w:pPr>
        <w:pStyle w:val="BodyText"/>
      </w:pPr>
      <w:r>
        <w:t xml:space="preserve">3-15-7 Shinjuku, Shinjuku-ku</w:t>
      </w:r>
    </w:p>
    <w:p>
      <w:pPr>
        <w:pStyle w:val="BodyText"/>
      </w:pPr>
      <w:r>
        <w:t xml:space="preserve">Tokyo, Japan 160-0022</w:t>
      </w:r>
    </w:p>
    <w:p>
      <w:pPr>
        <w:pStyle w:val="BodyText"/>
      </w:pPr>
      <w:r>
        <w:t xml:space="preserve">Tel: +81-3-5555-0199 | Email: billing@shinjuku-vision.jp</w:t>
      </w:r>
    </w:p>
    <w:p>
      <w:pPr>
        <w:pStyle w:val="BodyText"/>
      </w:pPr>
      <w:r>
        <w:t xml:space="preserve">Medical Institution License No: 16B300000001234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20, 2023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Mr. Kenji Tanaka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2-4-1 Roppongi, Minato-ku</w:t>
      </w:r>
    </w:p>
    <w:p>
      <w:pPr>
        <w:pStyle w:val="BodyText"/>
      </w:pPr>
      <w:r>
        <w:t xml:space="preserve">Tokyo, Japan 106-0032</w:t>
      </w:r>
    </w:p>
    <w:p>
      <w:pPr>
        <w:pStyle w:val="BodyText"/>
      </w:pPr>
      <w:r>
        <w:rPr>
          <w:bCs/>
          <w:b/>
        </w:rPr>
        <w:t xml:space="preserve">Health Insurance ID:</w:t>
      </w:r>
      <w:r>
        <w:t xml:space="preserve"> </w:t>
      </w:r>
      <w:r>
        <w:t xml:space="preserve">123-45-678901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Tokyo Metropolitan Government Health Insurance</w:t>
      </w:r>
    </w:p>
    <w:p>
      <w:pPr>
        <w:pStyle w:val="BodyText"/>
      </w:pPr>
      <w:r>
        <w:t xml:space="preserve">Attending Physician</w:t>
      </w:r>
    </w:p>
    <w:p>
      <w:pPr>
        <w:pStyle w:val="BodyText"/>
      </w:pPr>
      <w:r>
        <w:rPr>
          <w:bCs/>
          <w:b/>
        </w:rPr>
        <w:t xml:space="preserve">Dr. Sarah Jenkins, M.D., Ph.D.</w:t>
      </w:r>
    </w:p>
    <w:p>
      <w:pPr>
        <w:pStyle w:val="BodyText"/>
      </w:pPr>
      <w:r>
        <w:t xml:space="preserve">Board Certified Ophthalmologist</w:t>
      </w:r>
    </w:p>
    <w:p>
      <w:pPr>
        <w:pStyle w:val="BodyText"/>
      </w:pPr>
      <w:r>
        <w:t xml:space="preserve">Specialization: Retinal Diseases &amp; Vitreoretinal Surgery</w:t>
      </w:r>
    </w:p>
    <w:p>
      <w:pPr>
        <w:pStyle w:val="BodyText"/>
      </w:pPr>
      <w:r>
        <w:t xml:space="preserve">License No: 16-0012345</w:t>
      </w:r>
    </w:p>
    <w:p>
      <w:pPr>
        <w:pStyle w:val="BodyText"/>
      </w:pPr>
      <w:r>
        <w:t xml:space="preserve">Description of Ophthalmological Services Rendered</w:t>
      </w:r>
    </w:p>
    <w:p>
      <w:pPr>
        <w:pStyle w:val="BodyText"/>
      </w:pPr>
      <w:r>
        <w:t xml:space="preserve">The following invoice details the comprehensive eye care services provided at our Tokyo facility.</w:t>
      </w:r>
      <w:r>
        <w:t xml:space="preserve"> </w:t>
      </w:r>
      <w:r>
        <w:t xml:space="preserve">These charges reflect the standard medical fees for specialized ophthalmology procedures,</w:t>
      </w:r>
      <w:r>
        <w:t xml:space="preserve"> </w:t>
      </w:r>
      <w:r>
        <w:t xml:space="preserve">diagnostic imaging, and pharmaceutical dispensing as per the Japanese Ministry of Health, Labour and Welfare guidelines.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Ophthalmological Examination including visual acuity testing, refraction, and slit-lamp biomicroscopy.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of the macula and optic nerve head for detailed retinal layer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with mydriatic drops to assess the peripheral retina and optic disc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Non-contact Tonometry for intraocular pressure measurement to screen for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anti-inflammatory eye drops (Loteprednol Etabonate 0.5%) for post-examination irritation.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fee for diagnosis of early-stage Dry Age-Related Macular Degeneration (AMD).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¥2,500</w:t>
            </w:r>
          </w:p>
        </w:tc>
      </w:tr>
    </w:tbl>
    <w:p>
      <w:pPr>
        <w:pStyle w:val="BodyText"/>
      </w:pPr>
      <w:r>
        <w:t xml:space="preserve">Subtotal (Medical Services)</w:t>
      </w:r>
      <w:r>
        <w:t xml:space="preserve"> </w:t>
      </w:r>
      <w:r>
        <w:t xml:space="preserve">¥14,000</w:t>
      </w:r>
    </w:p>
    <w:p>
      <w:pPr>
        <w:pStyle w:val="BodyText"/>
      </w:pPr>
      <w:r>
        <w:t xml:space="preserve">Consumables &amp; Materials</w:t>
      </w:r>
      <w:r>
        <w:t xml:space="preserve"> </w:t>
      </w:r>
      <w:r>
        <w:t xml:space="preserve">¥500</w:t>
      </w:r>
    </w:p>
    <w:p>
      <w:pPr>
        <w:pStyle w:val="BodyText"/>
      </w:pPr>
      <w:r>
        <w:t xml:space="preserve">Consumption Tax (10%)</w:t>
      </w:r>
      <w:r>
        <w:t xml:space="preserve"> </w:t>
      </w:r>
      <w:r>
        <w:t xml:space="preserve">¥1,450</w:t>
      </w:r>
    </w:p>
    <w:p>
      <w:pPr>
        <w:pStyle w:val="BodyText"/>
      </w:pPr>
      <w:r>
        <w:t xml:space="preserve">Health Insurance Deduction (70% Covered)</w:t>
      </w:r>
      <w:r>
        <w:t xml:space="preserve"> </w:t>
      </w:r>
      <w:r>
        <w:t xml:space="preserve">-¥10,150</w:t>
      </w:r>
    </w:p>
    <w:p>
      <w:pPr>
        <w:pStyle w:val="BodyText"/>
      </w:pPr>
      <w:r>
        <w:t xml:space="preserve">Patient Out-of-Pocket Amount</w:t>
      </w:r>
      <w:r>
        <w:t xml:space="preserve"> </w:t>
      </w:r>
      <w:r>
        <w:t xml:space="preserve">¥5,800</w:t>
      </w:r>
    </w:p>
    <w:p>
      <w:pPr>
        <w:pStyle w:val="BodyText"/>
      </w:pPr>
      <w:r>
        <w:t xml:space="preserve">Payment Terms and Important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listed in Japanese Yen (JPY). Payment is expected in local currency.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reflects the standard 30% co-payment rate for patients under the Japanese National Health Insurance system. If you are a foreign resident without Japanese health insurance, the full subtotal plus tax is due.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cash, major credit cards (Visa, Mastercard, JCB), and bank transfers. For bank transfers, please reference the Invoice Number in the memo field.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 Name: Mizuho Bank, Shinjuku Branch</w:t>
      </w:r>
      <w:r>
        <w:br/>
      </w:r>
      <w:r>
        <w:t xml:space="preserve">Account Type: Ordinary</w:t>
      </w:r>
      <w:r>
        <w:br/>
      </w:r>
      <w:r>
        <w:t xml:space="preserve">Account Number: 1234567</w:t>
      </w:r>
      <w:r>
        <w:br/>
      </w:r>
      <w:r>
        <w:t xml:space="preserve">Account Name: Shinjuku Vision Care Center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In accordance with the Japanese Act on the Protection of Personal Information, your medical data and billing information are kept strictly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Follow-up:</w:t>
      </w:r>
      <w:r>
        <w:t xml:space="preserve"> </w:t>
      </w:r>
      <w:r>
        <w:t xml:space="preserve">Please schedule your next ophthalmology review appointment within 3 months to monitor the progression of your condition.</w:t>
      </w:r>
    </w:p>
    <w:p>
      <w:pPr>
        <w:pStyle w:val="FirstParagraph"/>
      </w:pPr>
      <w:r>
        <w:t xml:space="preserve">Thank you for trusting Shinjuku Vision Care Center with your eye health.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Shinjuku Vision Care Center, Tokyo, Japan.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Tokyo, Japan</dc:title>
  <dc:creator/>
  <dc:language>en</dc:language>
  <cp:keywords/>
  <dcterms:created xsi:type="dcterms:W3CDTF">2026-10-10T07:00:27Z</dcterms:created>
  <dcterms:modified xsi:type="dcterms:W3CDTF">2026-10-10T07:00:27Z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