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Ophthalmology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Kuala</w:t>
      </w:r>
      <w:r>
        <w:t xml:space="preserve"> </w:t>
      </w:r>
      <w:r>
        <w:t xml:space="preserve">Lumpur,</w:t>
      </w:r>
      <w:r>
        <w:t xml:space="preserve"> </w:t>
      </w:r>
      <w:r>
        <w:t xml:space="preserve">Malaysia</w:t>
      </w:r>
    </w:p>
    <w:bookmarkStart w:id="20" w:name="kl-vision-specialist-centre"/>
    <w:p>
      <w:pPr>
        <w:pStyle w:val="Heading1"/>
      </w:pPr>
      <w:r>
        <w:t xml:space="preserve">KL Vision Specialist Centre</w:t>
      </w:r>
    </w:p>
    <w:p>
      <w:pPr>
        <w:pStyle w:val="FirstParagraph"/>
      </w:pPr>
      <w:r>
        <w:rPr>
          <w:bCs/>
          <w:b/>
        </w:rPr>
        <w:t xml:space="preserve">Dr. A. Rahman, MBBS, FRCS (Ophth)</w:t>
      </w:r>
    </w:p>
    <w:p>
      <w:pPr>
        <w:pStyle w:val="BodyText"/>
      </w:pPr>
      <w:r>
        <w:t xml:space="preserve">Consultant Ophthalmologist</w:t>
      </w:r>
    </w:p>
    <w:p>
      <w:pPr>
        <w:pStyle w:val="BodyText"/>
      </w:pPr>
      <w:r>
        <w:t xml:space="preserve">Level 12, Menara KL Medical Tower</w:t>
      </w:r>
    </w:p>
    <w:p>
      <w:pPr>
        <w:pStyle w:val="BodyText"/>
      </w:pPr>
      <w:r>
        <w:t xml:space="preserve">123 Jalan Tun Razak, 50400 Kuala Lumpur</w:t>
      </w:r>
    </w:p>
    <w:p>
      <w:pPr>
        <w:pStyle w:val="BodyText"/>
      </w:pPr>
      <w:r>
        <w:t xml:space="preserve">Wilayah Persekutuan Kuala Lumpur, Malaysia</w:t>
      </w:r>
    </w:p>
    <w:p>
      <w:pPr>
        <w:pStyle w:val="BodyText"/>
      </w:pPr>
      <w:r>
        <w:t xml:space="preserve">Tel: +603-2100 5555 | Email: billing@klvision.com.my</w:t>
      </w:r>
    </w:p>
    <w:p>
      <w:pPr>
        <w:pStyle w:val="BodyText"/>
      </w:pPr>
      <w:r>
        <w:t xml:space="preserve">Company Reg: 201501012345 (1234567-X)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#: INV-2023-10-089</w:t>
      </w:r>
    </w:p>
    <w:p>
      <w:pPr>
        <w:pStyle w:val="BodyText"/>
      </w:pPr>
      <w:r>
        <w:t xml:space="preserve">Date: October 24, 2023</w:t>
      </w:r>
    </w:p>
    <w:p>
      <w:pPr>
        <w:pStyle w:val="BodyText"/>
      </w:pPr>
      <w:r>
        <w:t xml:space="preserve">Due Date: November 24, 2023</w:t>
      </w:r>
    </w:p>
    <w:p>
      <w:pPr>
        <w:pStyle w:val="BodyText"/>
      </w:pPr>
      <w:r>
        <w:t xml:space="preserve">Status:</w:t>
      </w:r>
      <w:r>
        <w:t xml:space="preserve"> </w:t>
      </w:r>
      <w:r>
        <w:t xml:space="preserve">Unpaid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Patient Name:</w:t>
      </w:r>
      <w:r>
        <w:t xml:space="preserve"> </w:t>
      </w:r>
      <w:r>
        <w:t xml:space="preserve">Mr. Tan Wei Ming</w:t>
      </w:r>
    </w:p>
    <w:p>
      <w:pPr>
        <w:pStyle w:val="BodyText"/>
      </w:pPr>
      <w:r>
        <w:rPr>
          <w:bCs/>
          <w:b/>
        </w:rPr>
        <w:t xml:space="preserve">NRIC/Passport:</w:t>
      </w:r>
      <w:r>
        <w:t xml:space="preserve"> </w:t>
      </w:r>
      <w:r>
        <w:t xml:space="preserve">880512-14-5678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45 Jalan Ampang, 50450 Kuala Lumpur, Malaysia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+6012-345 6789</w:t>
      </w:r>
    </w:p>
    <w:p>
      <w:pPr>
        <w:pStyle w:val="BodyText"/>
      </w:pPr>
      <w:r>
        <w:rPr>
          <w:bCs/>
          <w:b/>
        </w:rPr>
        <w:t xml:space="preserve">Insurance Provider:</w:t>
      </w:r>
      <w:r>
        <w:t xml:space="preserve"> </w:t>
      </w:r>
      <w:r>
        <w:t xml:space="preserve">Great Eastern Life Assurance</w:t>
      </w:r>
    </w:p>
    <w:p>
      <w:pPr>
        <w:pStyle w:val="BodyText"/>
      </w:pPr>
      <w:r>
        <w:rPr>
          <w:bCs/>
          <w:b/>
        </w:rPr>
        <w:t xml:space="preserve">Policy Number:</w:t>
      </w:r>
      <w:r>
        <w:t xml:space="preserve"> </w:t>
      </w:r>
      <w:r>
        <w:t xml:space="preserve">GE-OPH-987654321</w:t>
      </w:r>
    </w:p>
    <w:p>
      <w:pPr>
        <w:pStyle w:val="BodyText"/>
      </w:pPr>
      <w:r>
        <w:rPr>
          <w:bCs/>
          <w:b/>
        </w:rPr>
        <w:t xml:space="preserve">Group ID:</w:t>
      </w:r>
      <w:r>
        <w:t xml:space="preserve"> </w:t>
      </w:r>
      <w:r>
        <w:t xml:space="preserve">KL-CORP-2023</w:t>
      </w:r>
    </w:p>
    <w:p>
      <w:pPr>
        <w:pStyle w:val="BodyText"/>
      </w:pPr>
      <w:r>
        <w:rPr>
          <w:bCs/>
          <w:b/>
        </w:rPr>
        <w:t xml:space="preserve">Claim Reference:</w:t>
      </w:r>
      <w:r>
        <w:t xml:space="preserve"> </w:t>
      </w:r>
      <w:r>
        <w:t xml:space="preserve">CLM-20231024-001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Ophthalmology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(MYR)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(MYR)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Ophthalmic Examination</w:t>
            </w:r>
            <w:r>
              <w:br/>
            </w:r>
            <w:r>
              <w:t xml:space="preserve">Initial consultation with Dr. A. Rahman including visual acuity testing, slit-lamp examination, and intraocular pressure measurement. Performed at our Kuala Lumpur clinic.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Dilated Fundus Examination</w:t>
            </w:r>
            <w:r>
              <w:br/>
            </w:r>
            <w:r>
              <w:t xml:space="preserve">Pharmacological dilation of pupils followed by detailed retinal and optic nerve head assessment using indirect ophthalmoscopy.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Optical Coherence Tomography (OCT)</w:t>
            </w:r>
            <w:r>
              <w:br/>
            </w:r>
            <w:r>
              <w:t xml:space="preserve">High-resolution cross-sectional imaging of the retina and macula to assess for macular degeneration, diabetic retinopathy, or glaucomatous changes.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Visual Field Test (Perimetry)</w:t>
            </w:r>
            <w:r>
              <w:br/>
            </w:r>
            <w:r>
              <w:t xml:space="preserve">Automated static perimetry to evaluate peripheral vision and detect visual field defects associated with glaucoma or neurological conditions.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Corneal Topography</w:t>
            </w:r>
            <w:r>
              <w:br/>
            </w:r>
            <w:r>
              <w:t xml:space="preserve">Detailed mapping of the corneal surface curvature for refractive error analysis and pre-operative assessment.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Prescription Eyewear Consultation</w:t>
            </w:r>
            <w:r>
              <w:br/>
            </w:r>
            <w:r>
              <w:t xml:space="preserve">Refraction and prescription determination for corrective lenses. Includes binocular vision assessment.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Diagnostic Imaging - Fundus Photography</w:t>
            </w:r>
            <w:r>
              <w:br/>
            </w:r>
            <w:r>
              <w:t xml:space="preserve">High-resolution digital imaging of the retina for documentation and monitoring of ocular conditions.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Report Preparation</w:t>
            </w:r>
            <w:r>
              <w:br/>
            </w:r>
            <w:r>
              <w:t xml:space="preserve">Detailed clinical report for insurance claims and referral purposes, prepared by the consulting Ophthalmologist.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MYR 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Tax (6%):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MYR 90.00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Insurance Adjustment: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MYR -300.00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MYR 1,290.00</w:t>
            </w:r>
          </w:p>
        </w:tc>
      </w:tr>
    </w:tbl>
    <w:bookmarkStart w:id="23" w:name="payment-terms-conditions"/>
    <w:p>
      <w:pPr>
        <w:pStyle w:val="Heading4"/>
      </w:pPr>
      <w:r>
        <w:t xml:space="preserve">Payment Terms &amp; Conditions:</w:t>
      </w:r>
    </w:p>
    <w:p>
      <w:pPr>
        <w:pStyle w:val="FirstParagraph"/>
      </w:pPr>
      <w:r>
        <w:t xml:space="preserve">1. Payment is due within 30 days from the invoice date. Late payments may incur a 2% monthly interest charge.</w:t>
      </w:r>
    </w:p>
    <w:p>
      <w:pPr>
        <w:pStyle w:val="BodyText"/>
      </w:pPr>
      <w:r>
        <w:t xml:space="preserve">2. Please make payments via bank transfer to our account at Maybank Berhad, Kuala Lumpur Branch:</w:t>
      </w:r>
    </w:p>
    <w:p>
      <w:pPr>
        <w:pStyle w:val="BodyText"/>
      </w:pPr>
      <w:r>
        <w:t xml:space="preserve">Account Name: KL Vision Specialist Centre Sdn Bhd</w:t>
      </w:r>
    </w:p>
    <w:p>
      <w:pPr>
        <w:pStyle w:val="BodyText"/>
      </w:pPr>
      <w:r>
        <w:t xml:space="preserve">Account Number: 5678 9012 3456</w:t>
      </w:r>
    </w:p>
    <w:p>
      <w:pPr>
        <w:pStyle w:val="BodyText"/>
      </w:pPr>
      <w:r>
        <w:t xml:space="preserve">SWIFT Code: MBBEMYKL</w:t>
      </w:r>
    </w:p>
    <w:p>
      <w:pPr>
        <w:pStyle w:val="BodyText"/>
      </w:pPr>
      <w:r>
        <w:t xml:space="preserve">3. For insurance claims, please submit this invoice along with the completed claim form and medical report to your insurance provider.</w:t>
      </w:r>
    </w:p>
    <w:p>
      <w:pPr>
        <w:pStyle w:val="BodyText"/>
      </w:pPr>
      <w:r>
        <w:t xml:space="preserve">4. All services rendered are provided by qualified Ophthalmologists registered with the Malaysian Medical Council.</w:t>
      </w:r>
    </w:p>
    <w:p>
      <w:pPr>
        <w:pStyle w:val="BodyText"/>
      </w:pPr>
      <w:r>
        <w:t xml:space="preserve">5. This invoice is valid for tax purposes in Malaysia and complies with the Royal Malaysian Customs Department requirements.</w:t>
      </w:r>
    </w:p>
    <w:p>
      <w:pPr>
        <w:pStyle w:val="BodyText"/>
      </w:pPr>
      <w:r>
        <w:t xml:space="preserve">6. If you have any questions regarding this invoice or the ophthalmology services provided, please contact our billing department at +603-2100 5555.</w:t>
      </w:r>
    </w:p>
    <w:p>
      <w:pPr>
        <w:pStyle w:val="BodyText"/>
      </w:pPr>
      <w:r>
        <w:t xml:space="preserve">7. Please quote the Invoice Number (INV-2023-10-089) in all correspondence and payments.</w:t>
      </w:r>
    </w:p>
    <w:bookmarkEnd w:id="23"/>
    <w:p>
      <w:pPr>
        <w:pStyle w:val="BodyText"/>
      </w:pPr>
      <w:r>
        <w:t xml:space="preserve">Authorized Signature:</w:t>
      </w:r>
    </w:p>
    <w:p>
      <w:pPr>
        <w:pStyle w:val="BodyText"/>
      </w:pPr>
      <w:r>
        <w:t xml:space="preserve">Dr. A. Rahman</w:t>
      </w:r>
      <w:r>
        <w:br/>
      </w:r>
      <w:r>
        <w:t xml:space="preserve">Consultant Ophthalmologist</w:t>
      </w:r>
      <w:r>
        <w:br/>
      </w:r>
      <w:r>
        <w:t xml:space="preserve">KL Vision Specialist Centre</w:t>
      </w:r>
    </w:p>
    <w:p>
      <w:pPr>
        <w:pStyle w:val="BodyText"/>
      </w:pPr>
      <w:r>
        <w:t xml:space="preserve">KL Vision Specialist Centre Sdn Bhd | Level 12, Menara KL Medical Tower, 123 Jalan Tun Razak, 50400 Kuala Lumpur, Malaysia</w:t>
      </w:r>
    </w:p>
    <w:p>
      <w:pPr>
        <w:pStyle w:val="BodyText"/>
      </w:pPr>
      <w:r>
        <w:t xml:space="preserve">Registered with the Companies Commission of Malaysia (SSM) | Tax Identification Number: 201501012345</w:t>
      </w:r>
    </w:p>
    <w:p>
      <w:pPr>
        <w:pStyle w:val="BodyText"/>
      </w:pPr>
      <w:r>
        <w:t xml:space="preserve">This is a computer-generated invoice and does not require a physical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Ophthalmology Invoice - Kuala Lumpur, Malaysia</dc:title>
  <dc:creator/>
  <dc:language>en</dc:language>
  <cp:keywords/>
  <dcterms:created xsi:type="dcterms:W3CDTF">2026-10-10T07:02:24Z</dcterms:created>
  <dcterms:modified xsi:type="dcterms:W3CDTF">2026-10-10T07:02:24Z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