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Medical</w:t>
      </w:r>
      <w:r>
        <w:t xml:space="preserve"> </w:t>
      </w:r>
      <w:r>
        <w:t xml:space="preserve">Invoice</w:t>
      </w:r>
      <w:r>
        <w:t xml:space="preserve"> </w:t>
      </w:r>
      <w:r>
        <w:t xml:space="preserve">-</w:t>
      </w:r>
      <w:r>
        <w:t xml:space="preserve"> </w:t>
      </w:r>
      <w:r>
        <w:t xml:space="preserve">Ophthalmology</w:t>
      </w:r>
      <w:r>
        <w:t xml:space="preserve"> </w:t>
      </w:r>
      <w:r>
        <w:t xml:space="preserve">Services</w:t>
      </w:r>
      <w:r>
        <w:t xml:space="preserve"> </w:t>
      </w:r>
      <w:r>
        <w:t xml:space="preserve">-</w:t>
      </w:r>
      <w:r>
        <w:t xml:space="preserve"> </w:t>
      </w:r>
      <w:r>
        <w:t xml:space="preserve">Amsterdam,</w:t>
      </w:r>
      <w:r>
        <w:t xml:space="preserve"> </w:t>
      </w:r>
      <w:r>
        <w:t xml:space="preserve">Netherlands</w:t>
      </w:r>
    </w:p>
    <w:bookmarkStart w:id="20" w:name="amsterdam-vision-institute"/>
    <w:p>
      <w:pPr>
        <w:pStyle w:val="Heading1"/>
      </w:pPr>
      <w:r>
        <w:t xml:space="preserve">Amsterdam Vision Institute</w:t>
      </w:r>
    </w:p>
    <w:p>
      <w:pPr>
        <w:pStyle w:val="FirstParagraph"/>
      </w:pPr>
      <w:r>
        <w:rPr>
          <w:bCs/>
          <w:b/>
        </w:rPr>
        <w:t xml:space="preserve">Department of Ophthalmology</w:t>
      </w:r>
    </w:p>
    <w:p>
      <w:pPr>
        <w:pStyle w:val="BodyText"/>
      </w:pPr>
      <w:r>
        <w:t xml:space="preserve">Keizersgracht 378</w:t>
      </w:r>
    </w:p>
    <w:p>
      <w:pPr>
        <w:pStyle w:val="BodyText"/>
      </w:pPr>
      <w:r>
        <w:t xml:space="preserve">1016 GC Amsterdam, Netherlands</w:t>
      </w:r>
    </w:p>
    <w:p>
      <w:pPr>
        <w:pStyle w:val="BodyText"/>
      </w:pPr>
      <w:r>
        <w:t xml:space="preserve">KVK: 34567890 | BTW: NL856789012B01</w:t>
      </w:r>
    </w:p>
    <w:p>
      <w:pPr>
        <w:pStyle w:val="BodyText"/>
      </w:pPr>
      <w:r>
        <w:t xml:space="preserve">Phone: +31 20 123 4567</w:t>
      </w:r>
    </w:p>
    <w:p>
      <w:pPr>
        <w:pStyle w:val="BodyText"/>
      </w:pPr>
      <w:r>
        <w:t xml:space="preserve">Email: billing@amsterdamvision.nl</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Reference:</w:t>
      </w:r>
      <w:r>
        <w:t xml:space="preserve"> </w:t>
      </w:r>
      <w:r>
        <w:t xml:space="preserve">Patient ID #884920</w:t>
      </w:r>
    </w:p>
    <w:bookmarkEnd w:id="21"/>
    <w:bookmarkStart w:id="22" w:name="bill-to"/>
    <w:p>
      <w:pPr>
        <w:pStyle w:val="Heading3"/>
      </w:pPr>
      <w:r>
        <w:t xml:space="preserve">BILL TO:</w:t>
      </w:r>
    </w:p>
    <w:p>
      <w:pPr>
        <w:pStyle w:val="FirstParagraph"/>
      </w:pPr>
      <w:r>
        <w:rPr>
          <w:bCs/>
          <w:b/>
        </w:rPr>
        <w:t xml:space="preserve">Mr. Jan Pieter de Vries</w:t>
      </w:r>
    </w:p>
    <w:p>
      <w:pPr>
        <w:pStyle w:val="BodyText"/>
      </w:pPr>
      <w:r>
        <w:t xml:space="preserve">Herengracht 505</w:t>
      </w:r>
    </w:p>
    <w:p>
      <w:pPr>
        <w:pStyle w:val="BodyText"/>
      </w:pPr>
      <w:r>
        <w:t xml:space="preserve">1017 CA Amsterdam, Netherlands</w:t>
      </w:r>
    </w:p>
    <w:p>
      <w:pPr>
        <w:pStyle w:val="BodyText"/>
      </w:pPr>
      <w:r>
        <w:t xml:space="preserve">BSN: 123456789</w:t>
      </w:r>
    </w:p>
    <w:p>
      <w:pPr>
        <w:pStyle w:val="BodyText"/>
      </w:pPr>
      <w:r>
        <w:t xml:space="preserve">Insurance: Zilveren Kruis (Policy #ZK-998877)</w:t>
      </w:r>
    </w:p>
    <w:bookmarkEnd w:id="22"/>
    <w:bookmarkStart w:id="23" w:name="service-details"/>
    <w:p>
      <w:pPr>
        <w:pStyle w:val="Heading3"/>
      </w:pPr>
      <w:r>
        <w:t xml:space="preserve">SERVICE DETAILS:</w:t>
      </w:r>
    </w:p>
    <w:p>
      <w:pPr>
        <w:pStyle w:val="FirstParagraph"/>
      </w:pPr>
      <w:r>
        <w:rPr>
          <w:bCs/>
          <w:b/>
        </w:rPr>
        <w:t xml:space="preserve">Attending Ophthalmologist:</w:t>
      </w:r>
      <w:r>
        <w:t xml:space="preserve"> </w:t>
      </w:r>
      <w:r>
        <w:t xml:space="preserve">Dr. Sarah Jansen, MD, PhD</w:t>
      </w:r>
    </w:p>
    <w:p>
      <w:pPr>
        <w:pStyle w:val="BodyText"/>
      </w:pPr>
      <w:r>
        <w:rPr>
          <w:bCs/>
          <w:b/>
        </w:rPr>
        <w:t xml:space="preserve">Specialization:</w:t>
      </w:r>
      <w:r>
        <w:t xml:space="preserve"> </w:t>
      </w:r>
      <w:r>
        <w:t xml:space="preserve">Retinal Diseases &amp; Vitreoretinal Surgery</w:t>
      </w:r>
    </w:p>
    <w:p>
      <w:pPr>
        <w:pStyle w:val="BodyText"/>
      </w:pPr>
      <w:r>
        <w:rPr>
          <w:bCs/>
          <w:b/>
        </w:rPr>
        <w:t xml:space="preserve">Date of Service:</w:t>
      </w:r>
      <w:r>
        <w:t xml:space="preserve"> </w:t>
      </w:r>
      <w:r>
        <w:t xml:space="preserve">October 20, 2023</w:t>
      </w:r>
    </w:p>
    <w:p>
      <w:pPr>
        <w:pStyle w:val="BodyText"/>
      </w:pPr>
      <w:r>
        <w:rPr>
          <w:bCs/>
          <w:b/>
        </w:rPr>
        <w:t xml:space="preserve">Location:</w:t>
      </w:r>
      <w:r>
        <w:t xml:space="preserve"> </w:t>
      </w:r>
      <w:r>
        <w:t xml:space="preserve">Amsterdam Vision Institute, Consultation Room 4B</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Ophthalmological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1</w:t>
            </w:r>
          </w:p>
        </w:tc>
        <w:tc>
          <w:tcPr/>
          <w:p>
            <w:pPr>
              <w:pStyle w:val="Compact"/>
              <w:jc w:val="left"/>
            </w:pPr>
            <w:r>
              <w:rPr>
                <w:bCs/>
                <w:b/>
              </w:rPr>
              <w:t xml:space="preserve">Comprehensive Ophthalmological Examination</w:t>
            </w:r>
            <w:r>
              <w:br/>
            </w:r>
            <w:r>
              <w:t xml:space="preserve">Includes visual acuity testing, refraction, slit-lamp biomicroscopy, and tonometry. Performed by a certified Ophthalmologist in Amsterdam.</w:t>
            </w:r>
          </w:p>
        </w:tc>
        <w:tc>
          <w:tcPr/>
          <w:p>
            <w:pPr>
              <w:pStyle w:val="Compact"/>
              <w:jc w:val="left"/>
            </w:pPr>
            <w:r>
              <w:t xml:space="preserve">1</w:t>
            </w:r>
          </w:p>
        </w:tc>
        <w:tc>
          <w:tcPr/>
          <w:p>
            <w:pPr>
              <w:pStyle w:val="Compact"/>
              <w:jc w:val="left"/>
            </w:pPr>
            <w:r>
              <w:t xml:space="preserve">125.00</w:t>
            </w:r>
          </w:p>
        </w:tc>
        <w:tc>
          <w:tcPr/>
          <w:p>
            <w:pPr>
              <w:pStyle w:val="Compact"/>
              <w:jc w:val="left"/>
            </w:pPr>
            <w:r>
              <w:t xml:space="preserve">125.00</w:t>
            </w:r>
          </w:p>
        </w:tc>
      </w:tr>
      <w:tr>
        <w:tc>
          <w:tcPr/>
          <w:p>
            <w:pPr>
              <w:pStyle w:val="Compact"/>
              <w:jc w:val="left"/>
            </w:pPr>
            <w:r>
              <w:t xml:space="preserve">2</w:t>
            </w:r>
          </w:p>
        </w:tc>
        <w:tc>
          <w:tcPr/>
          <w:p>
            <w:pPr>
              <w:pStyle w:val="Compact"/>
              <w:jc w:val="left"/>
            </w:pPr>
            <w:r>
              <w:rPr>
                <w:bCs/>
                <w:b/>
              </w:rPr>
              <w:t xml:space="preserve">Dilated Fundus Examination</w:t>
            </w:r>
            <w:r>
              <w:br/>
            </w:r>
            <w:r>
              <w:t xml:space="preserve">Pharmacological dilation of pupils followed by detailed inspection of the retina, optic nerve, and macula to assess ocular health.</w:t>
            </w:r>
          </w:p>
        </w:tc>
        <w:tc>
          <w:tcPr/>
          <w:p>
            <w:pPr>
              <w:pStyle w:val="Compact"/>
              <w:jc w:val="left"/>
            </w:pPr>
            <w:r>
              <w:t xml:space="preserve">1</w:t>
            </w:r>
          </w:p>
        </w:tc>
        <w:tc>
          <w:tcPr/>
          <w:p>
            <w:pPr>
              <w:pStyle w:val="Compact"/>
              <w:jc w:val="left"/>
            </w:pPr>
            <w:r>
              <w:t xml:space="preserve">75.00</w:t>
            </w:r>
          </w:p>
        </w:tc>
        <w:tc>
          <w:tcPr/>
          <w:p>
            <w:pPr>
              <w:pStyle w:val="Compact"/>
              <w:jc w:val="left"/>
            </w:pPr>
            <w:r>
              <w:t xml:space="preserve">75.00</w:t>
            </w:r>
          </w:p>
        </w:tc>
      </w:tr>
      <w:tr>
        <w:tc>
          <w:tcPr/>
          <w:p>
            <w:pPr>
              <w:pStyle w:val="Compact"/>
              <w:jc w:val="left"/>
            </w:pPr>
            <w:r>
              <w:t xml:space="preserve">3</w:t>
            </w:r>
          </w:p>
        </w:tc>
        <w:tc>
          <w:tcPr/>
          <w:p>
            <w:pPr>
              <w:pStyle w:val="Compact"/>
              <w:jc w:val="left"/>
            </w:pPr>
            <w:r>
              <w:rPr>
                <w:bCs/>
                <w:b/>
              </w:rPr>
              <w:t xml:space="preserve">Optical Coherence Tomography (OCT)</w:t>
            </w:r>
            <w:r>
              <w:br/>
            </w:r>
            <w:r>
              <w:t xml:space="preserve">High-resolution cross-sectional imaging of the retina to detect macular degeneration, glaucoma, or diabetic retinopathy.</w:t>
            </w:r>
          </w:p>
        </w:tc>
        <w:tc>
          <w:tcPr/>
          <w:p>
            <w:pPr>
              <w:pStyle w:val="Compact"/>
              <w:jc w:val="left"/>
            </w:pPr>
            <w:r>
              <w:t xml:space="preserve">1</w:t>
            </w:r>
          </w:p>
        </w:tc>
        <w:tc>
          <w:tcPr/>
          <w:p>
            <w:pPr>
              <w:pStyle w:val="Compact"/>
              <w:jc w:val="left"/>
            </w:pPr>
            <w:r>
              <w:t xml:space="preserve">150.00</w:t>
            </w:r>
          </w:p>
        </w:tc>
        <w:tc>
          <w:tcPr/>
          <w:p>
            <w:pPr>
              <w:pStyle w:val="Compact"/>
              <w:jc w:val="left"/>
            </w:pPr>
            <w:r>
              <w:t xml:space="preserve">150.00</w:t>
            </w:r>
          </w:p>
        </w:tc>
      </w:tr>
      <w:tr>
        <w:tc>
          <w:tcPr/>
          <w:p>
            <w:pPr>
              <w:pStyle w:val="Compact"/>
              <w:jc w:val="left"/>
            </w:pPr>
            <w:r>
              <w:t xml:space="preserve">4</w:t>
            </w:r>
          </w:p>
        </w:tc>
        <w:tc>
          <w:tcPr/>
          <w:p>
            <w:pPr>
              <w:pStyle w:val="Compact"/>
              <w:jc w:val="left"/>
            </w:pPr>
            <w:r>
              <w:rPr>
                <w:bCs/>
                <w:b/>
              </w:rPr>
              <w:t xml:space="preserve">Visual Field Test (Perimetry)</w:t>
            </w:r>
            <w:r>
              <w:br/>
            </w:r>
            <w:r>
              <w:t xml:space="preserve">Automated perimetry to map the peripheral vision and detect blind spots associated with neurological or ocular conditions.</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5</w:t>
            </w:r>
          </w:p>
        </w:tc>
        <w:tc>
          <w:tcPr/>
          <w:p>
            <w:pPr>
              <w:pStyle w:val="Compact"/>
              <w:jc w:val="left"/>
            </w:pPr>
            <w:r>
              <w:rPr>
                <w:bCs/>
                <w:b/>
              </w:rPr>
              <w:t xml:space="preserve">Specialist Consultation &amp; Diagnosis</w:t>
            </w:r>
            <w:r>
              <w:br/>
            </w:r>
            <w:r>
              <w:t xml:space="preserve">Interpretation of diagnostic results by Dr. Jansen, formulation of diagnosis, and discussion of treatment plan.</w:t>
            </w:r>
          </w:p>
        </w:tc>
        <w:tc>
          <w:tcPr/>
          <w:p>
            <w:pPr>
              <w:pStyle w:val="Compact"/>
              <w:jc w:val="left"/>
            </w:pPr>
            <w:r>
              <w:t xml:space="preserve">1</w:t>
            </w:r>
          </w:p>
        </w:tc>
        <w:tc>
          <w:tcPr/>
          <w:p>
            <w:pPr>
              <w:pStyle w:val="Compact"/>
              <w:jc w:val="left"/>
            </w:pPr>
            <w:r>
              <w:t xml:space="preserve">110.00</w:t>
            </w:r>
          </w:p>
        </w:tc>
        <w:tc>
          <w:tcPr/>
          <w:p>
            <w:pPr>
              <w:pStyle w:val="Compact"/>
              <w:jc w:val="left"/>
            </w:pPr>
            <w:r>
              <w:t xml:space="preserve">110.00</w:t>
            </w:r>
          </w:p>
        </w:tc>
      </w:tr>
      <w:tr>
        <w:tc>
          <w:tcPr/>
          <w:p>
            <w:pPr>
              <w:pStyle w:val="Compact"/>
              <w:jc w:val="left"/>
            </w:pPr>
            <w:r>
              <w:t xml:space="preserve">6</w:t>
            </w:r>
          </w:p>
        </w:tc>
        <w:tc>
          <w:tcPr/>
          <w:p>
            <w:pPr>
              <w:pStyle w:val="Compact"/>
              <w:jc w:val="left"/>
            </w:pPr>
            <w:r>
              <w:rPr>
                <w:bCs/>
                <w:b/>
              </w:rPr>
              <w:t xml:space="preserve">Prescription Medication (Initial Supply)</w:t>
            </w:r>
            <w:r>
              <w:br/>
            </w:r>
            <w:r>
              <w:t xml:space="preserve">Topical anti-inflammatory drops and lubricating eye drops prescribed for post-examination care.</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bl>
    <w:p>
      <w:pPr>
        <w:pStyle w:val="BodyText"/>
      </w:pPr>
      <w:r>
        <w:t xml:space="preserve">Subtotal:</w:t>
      </w:r>
      <w:r>
        <w:t xml:space="preserve"> </w:t>
      </w:r>
      <w:r>
        <w:t xml:space="preserve">€ 600.00</w:t>
      </w:r>
    </w:p>
    <w:p>
      <w:pPr>
        <w:pStyle w:val="BodyText"/>
      </w:pPr>
      <w:r>
        <w:t xml:space="preserve">VAT (21% - Netherlands Standard Rate):</w:t>
      </w:r>
      <w:r>
        <w:t xml:space="preserve"> </w:t>
      </w:r>
      <w:r>
        <w:t xml:space="preserve">€ 126.00</w:t>
      </w:r>
    </w:p>
    <w:p>
      <w:pPr>
        <w:pStyle w:val="BodyText"/>
      </w:pPr>
      <w:r>
        <w:t xml:space="preserve">Insurance Contribution (Zilveren Kruis):</w:t>
      </w:r>
      <w:r>
        <w:t xml:space="preserve"> </w:t>
      </w:r>
      <w:r>
        <w:t xml:space="preserve">- € 450.00</w:t>
      </w:r>
    </w:p>
    <w:p>
      <w:pPr>
        <w:pStyle w:val="BodyText"/>
      </w:pPr>
      <w:r>
        <w:t xml:space="preserve">TOTAL DUE:</w:t>
      </w:r>
      <w:r>
        <w:t xml:space="preserve"> </w:t>
      </w:r>
      <w:r>
        <w:t xml:space="preserve">€ 276.00</w:t>
      </w:r>
    </w:p>
    <w:bookmarkStart w:id="24" w:name="payment-instructions-terms"/>
    <w:p>
      <w:pPr>
        <w:pStyle w:val="Heading4"/>
      </w:pPr>
      <w:r>
        <w:t xml:space="preserve">Payment Instructions &amp; Terms</w:t>
      </w:r>
    </w:p>
    <w:p>
      <w:pPr>
        <w:pStyle w:val="FirstParagraph"/>
      </w:pPr>
      <w:r>
        <w:t xml:space="preserve">Please remit payment within 30 days of the invoice date. Late payments may incur a statutory interest rate of 8% per annum in accordance with Dutch law.</w:t>
      </w:r>
    </w:p>
    <w:p>
      <w:pPr>
        <w:pStyle w:val="BodyText"/>
      </w:pPr>
      <w:r>
        <w:rPr>
          <w:bCs/>
          <w:b/>
        </w:rPr>
        <w:t xml:space="preserve">Bank Transfer Details (SEPA):</w:t>
      </w:r>
      <w:r>
        <w:br/>
      </w:r>
      <w:r>
        <w:t xml:space="preserve">Bank Name: ING Bank N.V.</w:t>
      </w:r>
      <w:r>
        <w:br/>
      </w:r>
      <w:r>
        <w:t xml:space="preserve">Account Holder: Amsterdam Vision Institute B.V.</w:t>
      </w:r>
      <w:r>
        <w:br/>
      </w:r>
      <w:r>
        <w:t xml:space="preserve">IBAN: NL91 INGB 0002 3456 78</w:t>
      </w:r>
      <w:r>
        <w:br/>
      </w:r>
      <w:r>
        <w:t xml:space="preserve">BIC/SWIFT: INGBNL2A</w:t>
      </w:r>
      <w:r>
        <w:br/>
      </w:r>
      <w:r>
        <w:t xml:space="preserve">Reference: INV-2023-10-045</w:t>
      </w:r>
    </w:p>
    <w:p>
      <w:pPr>
        <w:pStyle w:val="BodyText"/>
      </w:pPr>
      <w:r>
        <w:br/>
      </w:r>
    </w:p>
    <w:bookmarkEnd w:id="24"/>
    <w:bookmarkStart w:id="25" w:name="X2a70f93d3bb5fb38ce4d62f4ed458c748ea3ebc"/>
    <w:p>
      <w:pPr>
        <w:pStyle w:val="Heading4"/>
      </w:pPr>
      <w:r>
        <w:t xml:space="preserve">Important Information for Patients in Amsterdam</w:t>
      </w:r>
    </w:p>
    <w:p>
      <w:pPr>
        <w:pStyle w:val="FirstParagraph"/>
      </w:pPr>
      <w:r>
        <w:t xml:space="preserve">This invoice reflects the costs associated with specialized care provided by a medical doctor specializing in Ophthalmology. While basic eye care is often covered by basic health insurance in the Netherlands, specialized diagnostic imaging and certain treatments may fall under voluntary insurance or out-of-pocket expenses depending on your specific policy with your insurer.</w:t>
      </w:r>
    </w:p>
    <w:p>
      <w:pPr>
        <w:pStyle w:val="BodyText"/>
      </w:pPr>
      <w:r>
        <w:t xml:space="preserve">If you have questions regarding the billing or the medical services provided by our Ophthalmologist, please contact our administrative office located in Amsterdam. We are committed to transparency and ensuring you understand the costs related to your eye health.</w:t>
      </w:r>
    </w:p>
    <w:p>
      <w:pPr>
        <w:pStyle w:val="BodyText"/>
      </w:pPr>
      <w:r>
        <w:t xml:space="preserve">Thank you for choosing Amsterdam Vision Institute for your ophthalmological needs. We strive to provide world-class eye care in the heart of the Netherlands.</w:t>
      </w:r>
    </w:p>
    <w:bookmarkEnd w:id="25"/>
    <w:p>
      <w:pPr>
        <w:pStyle w:val="BodyText"/>
      </w:pPr>
      <w:r>
        <w:t xml:space="preserve">Amsterdam Vision Institute B.V. | Registered in the Chamber of Commerce of Amsterdam | VAT ID: NL856789012B01</w:t>
      </w:r>
    </w:p>
    <w:p>
      <w:pPr>
        <w:pStyle w:val="BodyText"/>
      </w:pPr>
      <w:r>
        <w:t xml:space="preserve">This is a computer-generated invoice and does not require a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Medical Invoice - Ophthalmology Services - Amsterdam, Netherlands</dc:title>
  <dc:creator/>
  <dc:language>en</dc:language>
  <cp:keywords/>
  <dcterms:created xsi:type="dcterms:W3CDTF">2026-10-10T07:31:59Z</dcterms:created>
  <dcterms:modified xsi:type="dcterms:W3CDTF">2026-10-10T07:31:59Z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