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Ophthalmology</w:t>
      </w:r>
      <w:r>
        <w:t xml:space="preserve"> </w:t>
      </w:r>
      <w:r>
        <w:t xml:space="preserve">Invoice</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wellington-specialist-eye-care"/>
    <w:p>
      <w:pPr>
        <w:pStyle w:val="Heading1"/>
      </w:pPr>
      <w:r>
        <w:t xml:space="preserve">Wellington Specialist Eye Care</w:t>
      </w:r>
    </w:p>
    <w:p>
      <w:pPr>
        <w:pStyle w:val="FirstParagraph"/>
      </w:pPr>
      <w:r>
        <w:rPr>
          <w:bCs/>
          <w:b/>
        </w:rPr>
        <w:t xml:space="preserve">Dr. Sarah Jenkins, FRANZCO</w:t>
      </w:r>
    </w:p>
    <w:p>
      <w:pPr>
        <w:pStyle w:val="BodyText"/>
      </w:pPr>
      <w:r>
        <w:t xml:space="preserve">Consultant Ophthalmologist</w:t>
      </w:r>
    </w:p>
    <w:p>
      <w:pPr>
        <w:pStyle w:val="BodyText"/>
      </w:pPr>
      <w:r>
        <w:t xml:space="preserve">Level 4, Wellington Medical Centre</w:t>
      </w:r>
    </w:p>
    <w:p>
      <w:pPr>
        <w:pStyle w:val="BodyText"/>
      </w:pPr>
      <w:r>
        <w:t xml:space="preserve">123 Lambton Quay, Te Aro</w:t>
      </w:r>
    </w:p>
    <w:p>
      <w:pPr>
        <w:pStyle w:val="BodyText"/>
      </w:pPr>
      <w:r>
        <w:t xml:space="preserve">Wellington 6011, New Zealand</w:t>
      </w:r>
    </w:p>
    <w:p>
      <w:pPr>
        <w:pStyle w:val="BodyText"/>
      </w:pPr>
      <w:r>
        <w:t xml:space="preserve">Phone: +64 4 555 0199 | Email: admin@wellspecialeycare.co.nz</w:t>
      </w:r>
    </w:p>
    <w:p>
      <w:pPr>
        <w:pStyle w:val="BodyText"/>
      </w:pPr>
      <w:r>
        <w:t xml:space="preserve">BNZ Account: 02-0101-01234567-00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Reference:</w:t>
      </w:r>
      <w:r>
        <w:t xml:space="preserve"> </w:t>
      </w:r>
      <w:r>
        <w:t xml:space="preserve">Wellington Ophthalmology Services</w:t>
      </w:r>
    </w:p>
    <w:bookmarkEnd w:id="21"/>
    <w:bookmarkStart w:id="22" w:name="bill-to"/>
    <w:p>
      <w:pPr>
        <w:pStyle w:val="Heading3"/>
      </w:pPr>
      <w:r>
        <w:t xml:space="preserve">BILL TO:</w:t>
      </w:r>
    </w:p>
    <w:p>
      <w:pPr>
        <w:pStyle w:val="FirstParagraph"/>
      </w:pPr>
      <w:r>
        <w:rPr>
          <w:bCs/>
          <w:b/>
        </w:rPr>
        <w:t xml:space="preserve">Mr. James Thompson</w:t>
      </w:r>
    </w:p>
    <w:p>
      <w:pPr>
        <w:pStyle w:val="BodyText"/>
      </w:pPr>
      <w:r>
        <w:t xml:space="preserve">45 Oriental Parade</w:t>
      </w:r>
    </w:p>
    <w:p>
      <w:pPr>
        <w:pStyle w:val="BodyText"/>
      </w:pPr>
      <w:r>
        <w:t xml:space="preserve">Thorndon, Wellington 6011</w:t>
      </w:r>
    </w:p>
    <w:p>
      <w:pPr>
        <w:pStyle w:val="BodyText"/>
      </w:pPr>
      <w:r>
        <w:t xml:space="preserve">New Zealand</w:t>
      </w:r>
    </w:p>
    <w:p>
      <w:pPr>
        <w:pStyle w:val="BodyText"/>
      </w:pPr>
      <w:r>
        <w:t xml:space="preserve">Phone: +64 21 123 4567</w:t>
      </w:r>
    </w:p>
    <w:p>
      <w:pPr>
        <w:pStyle w:val="BodyText"/>
      </w:pPr>
      <w:r>
        <w:t xml:space="preserve">Email: james.thompson@email.co.nz</w:t>
      </w:r>
    </w:p>
    <w:bookmarkEnd w:id="22"/>
    <w:bookmarkStart w:id="23" w:name="service-details"/>
    <w:p>
      <w:pPr>
        <w:pStyle w:val="Heading3"/>
      </w:pPr>
      <w:r>
        <w:t xml:space="preserve">SERVICE DETAILS:</w:t>
      </w:r>
    </w:p>
    <w:p>
      <w:pPr>
        <w:pStyle w:val="FirstParagraph"/>
      </w:pPr>
      <w:r>
        <w:rPr>
          <w:bCs/>
          <w:b/>
        </w:rPr>
        <w:t xml:space="preserve">Date of Service:</w:t>
      </w:r>
      <w:r>
        <w:t xml:space="preserve"> </w:t>
      </w:r>
      <w:r>
        <w:t xml:space="preserve">20 October 2023</w:t>
      </w:r>
    </w:p>
    <w:p>
      <w:pPr>
        <w:pStyle w:val="BodyText"/>
      </w:pPr>
      <w:r>
        <w:rPr>
          <w:bCs/>
          <w:b/>
        </w:rPr>
        <w:t xml:space="preserve">Consultation Type:</w:t>
      </w:r>
      <w:r>
        <w:t xml:space="preserve"> </w:t>
      </w:r>
      <w:r>
        <w:t xml:space="preserve">Comprehensive Ophthalmic Assessment</w:t>
      </w:r>
    </w:p>
    <w:p>
      <w:pPr>
        <w:pStyle w:val="BodyText"/>
      </w:pPr>
      <w:r>
        <w:rPr>
          <w:bCs/>
          <w:b/>
        </w:rPr>
        <w:t xml:space="preserve">Location:</w:t>
      </w:r>
      <w:r>
        <w:t xml:space="preserve"> </w:t>
      </w:r>
      <w:r>
        <w:t xml:space="preserve">Wellington Specialist Eye Care Clinic</w:t>
      </w:r>
    </w:p>
    <w:p>
      <w:pPr>
        <w:pStyle w:val="BodyText"/>
      </w:pPr>
      <w:r>
        <w:rPr>
          <w:bCs/>
          <w:b/>
        </w:rPr>
        <w:t xml:space="preserve">Provider:</w:t>
      </w:r>
      <w:r>
        <w:t xml:space="preserve"> </w:t>
      </w:r>
      <w:r>
        <w:t xml:space="preserve">Dr. Sarah Jenkins (Consultant Ophthalmologist)</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Ophthalmological Services</w:t>
            </w:r>
          </w:p>
        </w:tc>
        <w:tc>
          <w:tcPr/>
          <w:p>
            <w:pPr>
              <w:pStyle w:val="Compact"/>
              <w:jc w:val="left"/>
            </w:pPr>
            <w:r>
              <w:t xml:space="preserve">Quantity</w:t>
            </w:r>
          </w:p>
        </w:tc>
        <w:tc>
          <w:tcPr/>
          <w:p>
            <w:pPr>
              <w:pStyle w:val="Compact"/>
              <w:jc w:val="left"/>
            </w:pPr>
            <w:r>
              <w:t xml:space="preserve">Unit Price (NZD)</w:t>
            </w:r>
          </w:p>
        </w:tc>
        <w:tc>
          <w:tcPr/>
          <w:p>
            <w:pPr>
              <w:pStyle w:val="Compact"/>
              <w:jc w:val="left"/>
            </w:pPr>
            <w:r>
              <w:t xml:space="preserve">Total (NZD)</w:t>
            </w:r>
          </w:p>
        </w:tc>
      </w:tr>
      <w:tr>
        <w:tc>
          <w:tcPr/>
          <w:p>
            <w:pPr>
              <w:pStyle w:val="Compact"/>
              <w:jc w:val="left"/>
            </w:pPr>
            <w:r>
              <w:t xml:space="preserve">1</w:t>
            </w:r>
          </w:p>
        </w:tc>
        <w:tc>
          <w:tcPr/>
          <w:p>
            <w:pPr>
              <w:pStyle w:val="Compact"/>
              <w:jc w:val="left"/>
            </w:pPr>
            <w:r>
              <w:rPr>
                <w:bCs/>
                <w:b/>
              </w:rPr>
              <w:t xml:space="preserve">Initial Specialist Ophthalmology Consultation</w:t>
            </w:r>
            <w:r>
              <w:br/>
            </w:r>
            <w:r>
              <w:t xml:space="preserve">Comprehensive eye examination conducted by a registered Ophthalmologist in Wellington. Includes detailed medical history review, visual acuity testing, slit-lamp biomicroscopy, and assessment of ocular health. This service addresses complex vision concerns requiring specialist intervention beyond general optometry.</w:t>
            </w:r>
          </w:p>
        </w:tc>
        <w:tc>
          <w:tcPr/>
          <w:p>
            <w:pPr>
              <w:pStyle w:val="Compact"/>
              <w:jc w:val="left"/>
            </w:pPr>
            <w:r>
              <w:t xml:space="preserve">1</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2</w:t>
            </w:r>
          </w:p>
        </w:tc>
        <w:tc>
          <w:tcPr/>
          <w:p>
            <w:pPr>
              <w:pStyle w:val="Compact"/>
              <w:jc w:val="left"/>
            </w:pPr>
            <w:r>
              <w:rPr>
                <w:bCs/>
                <w:b/>
              </w:rPr>
              <w:t xml:space="preserve">Optical Coherence Tomography (OCT) Scan</w:t>
            </w:r>
            <w:r>
              <w:br/>
            </w:r>
            <w:r>
              <w:t xml:space="preserve">Advanced non-invasive imaging procedure to capture high-resolution cross-sectional images of the retina. Essential for diagnosing and monitoring retinal conditions such as macular degeneration, glaucoma, and diabetic retinopathy. Performed at our Wellington facility using state-of-the-art equipment.</w:t>
            </w:r>
          </w:p>
        </w:tc>
        <w:tc>
          <w:tcPr/>
          <w:p>
            <w:pPr>
              <w:pStyle w:val="Compact"/>
              <w:jc w:val="left"/>
            </w:pPr>
            <w:r>
              <w:t xml:space="preserve">1</w:t>
            </w:r>
          </w:p>
        </w:tc>
        <w:tc>
          <w:tcPr/>
          <w:p>
            <w:pPr>
              <w:pStyle w:val="Compact"/>
              <w:jc w:val="left"/>
            </w:pPr>
            <w:r>
              <w:t xml:space="preserve">220.00</w:t>
            </w:r>
          </w:p>
        </w:tc>
        <w:tc>
          <w:tcPr/>
          <w:p>
            <w:pPr>
              <w:pStyle w:val="Compact"/>
              <w:jc w:val="left"/>
            </w:pPr>
            <w:r>
              <w:t xml:space="preserve">220.00</w:t>
            </w:r>
          </w:p>
        </w:tc>
      </w:tr>
      <w:tr>
        <w:tc>
          <w:tcPr/>
          <w:p>
            <w:pPr>
              <w:pStyle w:val="Compact"/>
              <w:jc w:val="left"/>
            </w:pPr>
            <w:r>
              <w:t xml:space="preserve">3</w:t>
            </w:r>
          </w:p>
        </w:tc>
        <w:tc>
          <w:tcPr/>
          <w:p>
            <w:pPr>
              <w:pStyle w:val="Compact"/>
              <w:jc w:val="left"/>
            </w:pPr>
            <w:r>
              <w:rPr>
                <w:bCs/>
                <w:b/>
              </w:rPr>
              <w:t xml:space="preserve">Visual Field Testing (Perimetry)</w:t>
            </w:r>
            <w:r>
              <w:br/>
            </w:r>
            <w:r>
              <w:t xml:space="preserve">Comprehensive assessment of peripheral vision to detect blind spots and visual field defects. Critical for the diagnosis and management of glaucoma and neurological conditions affecting vision. Conducted by certified ophthalmic technicians under the supervision of the Ophthalmologist.</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r>
      <w:tr>
        <w:tc>
          <w:tcPr/>
          <w:p>
            <w:pPr>
              <w:pStyle w:val="Compact"/>
              <w:jc w:val="left"/>
            </w:pPr>
            <w:r>
              <w:t xml:space="preserve">4</w:t>
            </w:r>
          </w:p>
        </w:tc>
        <w:tc>
          <w:tcPr/>
          <w:p>
            <w:pPr>
              <w:pStyle w:val="Compact"/>
              <w:jc w:val="left"/>
            </w:pPr>
            <w:r>
              <w:rPr>
                <w:bCs/>
                <w:b/>
              </w:rPr>
              <w:t xml:space="preserve">Specialist Prescription and Management Plan</w:t>
            </w:r>
            <w:r>
              <w:br/>
            </w:r>
            <w:r>
              <w:t xml:space="preserve">Development of a tailored treatment plan including prescription for corrective lenses, medicated eye drops, and follow-up schedule. Includes detailed documentation for referral back to your local optometrist or GP in the Wellington region.</w:t>
            </w:r>
          </w:p>
        </w:tc>
        <w:tc>
          <w:tcPr/>
          <w:p>
            <w:pPr>
              <w:pStyle w:val="Compact"/>
              <w:jc w:val="left"/>
            </w:pPr>
            <w:r>
              <w:t xml:space="preserve">1</w:t>
            </w:r>
          </w:p>
        </w:tc>
        <w:tc>
          <w:tcPr/>
          <w:p>
            <w:pPr>
              <w:pStyle w:val="Compact"/>
              <w:jc w:val="left"/>
            </w:pPr>
            <w:r>
              <w:t xml:space="preserve">100.00</w:t>
            </w:r>
          </w:p>
        </w:tc>
        <w:tc>
          <w:tcPr/>
          <w:p>
            <w:pPr>
              <w:pStyle w:val="Compact"/>
              <w:jc w:val="left"/>
            </w:pPr>
            <w:r>
              <w:t xml:space="preserve">100.00</w:t>
            </w:r>
          </w:p>
        </w:tc>
      </w:tr>
      <w:tr>
        <w:tc>
          <w:tcPr/>
          <w:p>
            <w:pPr>
              <w:pStyle w:val="Compact"/>
              <w:jc w:val="left"/>
            </w:pPr>
            <w:r>
              <w:t xml:space="preserve">5</w:t>
            </w:r>
          </w:p>
        </w:tc>
        <w:tc>
          <w:tcPr/>
          <w:p>
            <w:pPr>
              <w:pStyle w:val="Compact"/>
              <w:jc w:val="left"/>
            </w:pPr>
            <w:r>
              <w:rPr>
                <w:bCs/>
                <w:b/>
              </w:rPr>
              <w:t xml:space="preserve">Administrative and Record Keeping Fee</w:t>
            </w:r>
            <w:r>
              <w:br/>
            </w:r>
            <w:r>
              <w:t xml:space="preserve">Processing of medical records, preparation of specialist reports, and compliance with New Zealand Health and Disability Commissioner standards. Ensures accurate documentation for insurance claims and future medical reference.</w:t>
            </w:r>
          </w:p>
        </w:tc>
        <w:tc>
          <w:tcPr/>
          <w:p>
            <w:pPr>
              <w:pStyle w:val="Compact"/>
              <w:jc w:val="left"/>
            </w:pPr>
            <w:r>
              <w:t xml:space="preserve">1</w:t>
            </w:r>
          </w:p>
        </w:tc>
        <w:tc>
          <w:tcPr/>
          <w:p>
            <w:pPr>
              <w:pStyle w:val="Compact"/>
              <w:jc w:val="left"/>
            </w:pPr>
            <w:r>
              <w:t xml:space="preserve">50.00</w:t>
            </w:r>
          </w:p>
        </w:tc>
        <w:tc>
          <w:tcPr/>
          <w:p>
            <w:pPr>
              <w:pStyle w:val="Compact"/>
              <w:jc w:val="left"/>
            </w:pPr>
            <w:r>
              <w:t xml:space="preserve">50.00</w:t>
            </w:r>
          </w:p>
        </w:tc>
      </w:tr>
    </w:tbl>
    <w:p>
      <w:pPr>
        <w:pStyle w:val="BodyText"/>
      </w:pPr>
      <w:r>
        <w:t xml:space="preserve">Subtotal:</w:t>
      </w:r>
      <w:r>
        <w:t xml:space="preserve"> </w:t>
      </w:r>
      <w:r>
        <w:t xml:space="preserve">$900.00 NZD</w:t>
      </w:r>
    </w:p>
    <w:p>
      <w:pPr>
        <w:pStyle w:val="BodyText"/>
      </w:pPr>
      <w:r>
        <w:t xml:space="preserve">GST (15%):</w:t>
      </w:r>
      <w:r>
        <w:t xml:space="preserve"> </w:t>
      </w:r>
      <w:r>
        <w:t xml:space="preserve">$135.00 NZD</w:t>
      </w:r>
    </w:p>
    <w:p>
      <w:pPr>
        <w:pStyle w:val="BodyText"/>
      </w:pPr>
      <w:r>
        <w:t xml:space="preserve">TOTAL DUE:</w:t>
      </w:r>
      <w:r>
        <w:t xml:space="preserve"> </w:t>
      </w:r>
      <w:r>
        <w:t xml:space="preserve">$1,035.00 NZD</w:t>
      </w:r>
    </w:p>
    <w:bookmarkStart w:id="24" w:name="payment-terms-and-important-information"/>
    <w:p>
      <w:pPr>
        <w:pStyle w:val="Heading4"/>
      </w:pPr>
      <w:r>
        <w:t xml:space="preserve">Payment Terms and Important Information</w:t>
      </w:r>
    </w:p>
    <w:p>
      <w:pPr>
        <w:pStyle w:val="FirstParagraph"/>
      </w:pPr>
      <w:r>
        <w:rPr>
          <w:bCs/>
          <w:b/>
        </w:rPr>
        <w:t xml:space="preserve">Currency:</w:t>
      </w:r>
      <w:r>
        <w:t xml:space="preserve"> </w:t>
      </w:r>
      <w:r>
        <w:t xml:space="preserve">All amounts are quoted in New Zealand Dollars (NZD).</w:t>
      </w:r>
      <w:r>
        <w:br/>
      </w:r>
      <w:r>
        <w:rPr>
          <w:bCs/>
          <w:b/>
        </w:rPr>
        <w:t xml:space="preserve">Payment Due:</w:t>
      </w:r>
      <w:r>
        <w:t xml:space="preserve"> </w:t>
      </w:r>
      <w:r>
        <w:t xml:space="preserve">Payment is due within 30 days of the invoice date. Late payments may incur interest charges at the rate prescribed by the Interest on Moneyow Act 1969.</w:t>
      </w:r>
      <w:r>
        <w:br/>
      </w:r>
      <w:r>
        <w:rPr>
          <w:bCs/>
          <w:b/>
        </w:rPr>
        <w:t xml:space="preserve">Payment Methods:</w:t>
      </w:r>
      <w:r>
        <w:t xml:space="preserve"> </w:t>
      </w:r>
      <w:r>
        <w:t xml:space="preserve">Bank transfer to BNZ account details provided above, or credit card payment via our secure online portal. Please include your Invoice Number as the reference.</w:t>
      </w:r>
      <w:r>
        <w:br/>
      </w:r>
      <w:r>
        <w:rPr>
          <w:bCs/>
          <w:b/>
        </w:rPr>
        <w:t xml:space="preserve">Health Insurance:</w:t>
      </w:r>
      <w:r>
        <w:t xml:space="preserve"> </w:t>
      </w:r>
      <w:r>
        <w:t xml:space="preserve">This invoice is suitable for submission to private health insurers. Please note that as a specialist Ophthalmologist, services may be partially covered depending on your policy. We recommend contacting your insurer directly for pre-authorization.</w:t>
      </w:r>
      <w:r>
        <w:br/>
      </w:r>
      <w:r>
        <w:rPr>
          <w:bCs/>
          <w:b/>
        </w:rPr>
        <w:t xml:space="preserve">Medical Records:</w:t>
      </w:r>
      <w:r>
        <w:t xml:space="preserve"> </w:t>
      </w:r>
      <w:r>
        <w:t xml:space="preserve">Your medical records are maintained in accordance with the Privacy Act 2020. You have the right to access your records upon written request.</w:t>
      </w:r>
      <w:r>
        <w:br/>
      </w:r>
      <w:r>
        <w:rPr>
          <w:bCs/>
          <w:b/>
        </w:rPr>
        <w:t xml:space="preserve">Contact:</w:t>
      </w:r>
      <w:r>
        <w:t xml:space="preserve"> </w:t>
      </w:r>
      <w:r>
        <w:t xml:space="preserve">For any queries regarding this invoice or your ophthalmological care in Wellington, please contact our administrative team at +64 4 555 0199.</w:t>
      </w:r>
    </w:p>
    <w:bookmarkEnd w:id="24"/>
    <w:p>
      <w:pPr>
        <w:pStyle w:val="BodyText"/>
      </w:pPr>
      <w:r>
        <w:rPr>
          <w:bCs/>
          <w:b/>
        </w:rPr>
        <w:t xml:space="preserve">Authorized by:</w:t>
      </w:r>
    </w:p>
    <w:p>
      <w:pPr>
        <w:pStyle w:val="BodyText"/>
      </w:pPr>
      <w:r>
        <w:t xml:space="preserve">Dr. Sarah Jenkins</w:t>
      </w:r>
      <w:r>
        <w:br/>
      </w:r>
      <w:r>
        <w:t xml:space="preserve">Consultant Ophthalmologist</w:t>
      </w:r>
      <w:r>
        <w:br/>
      </w:r>
      <w:r>
        <w:t xml:space="preserve">Wellington Specialist Eye Care</w:t>
      </w:r>
    </w:p>
    <w:p>
      <w:pPr>
        <w:pStyle w:val="BodyText"/>
      </w:pPr>
      <w:r>
        <w:t xml:space="preserve">Wellington Specialist Eye Care is a registered medical practice in New Zealand.</w:t>
      </w:r>
      <w:r>
        <w:br/>
      </w:r>
      <w:r>
        <w:t xml:space="preserve">Dr. Sarah Jenkins is a Fellow of the Royal Australian and New Zealand College of Ophthalmologists (FRANZCO).</w:t>
      </w:r>
      <w:r>
        <w:br/>
      </w:r>
      <w:r>
        <w:t xml:space="preserve">This document serves as an official invoice for ophthalmological services rendered in Wellington, New Zealand.</w:t>
      </w:r>
      <w:r>
        <w:br/>
      </w:r>
      <w:r>
        <w:t xml:space="preserve">© 2023 Wellington Specialist Eye Care.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Ophthalmology Invoice - Wellington, New Zealand</dc:title>
  <dc:creator/>
  <dc:language>en</dc:language>
  <cp:keywords/>
  <dcterms:created xsi:type="dcterms:W3CDTF">2026-10-10T08:23:22Z</dcterms:created>
  <dcterms:modified xsi:type="dcterms:W3CDTF">2026-10-10T08:23:22Z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