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Ophthalmology</w:t>
      </w:r>
      <w:r>
        <w:t xml:space="preserve"> </w:t>
      </w:r>
      <w:r>
        <w:t xml:space="preserve">Services</w:t>
      </w:r>
      <w:r>
        <w:t xml:space="preserve"> </w:t>
      </w:r>
      <w:r>
        <w:t xml:space="preserve">-</w:t>
      </w:r>
      <w:r>
        <w:t xml:space="preserve"> </w:t>
      </w:r>
      <w:r>
        <w:t xml:space="preserve">Riyadh,</w:t>
      </w:r>
      <w:r>
        <w:t xml:space="preserve"> </w:t>
      </w:r>
      <w:r>
        <w:t xml:space="preserve">Saudi</w:t>
      </w:r>
      <w:r>
        <w:t xml:space="preserve"> </w:t>
      </w:r>
      <w:r>
        <w:t xml:space="preserve">Arabia</w:t>
      </w:r>
    </w:p>
    <w:bookmarkStart w:id="20" w:name="riyadh-vision-eye-care-center"/>
    <w:p>
      <w:pPr>
        <w:pStyle w:val="Heading1"/>
      </w:pPr>
      <w:r>
        <w:t xml:space="preserve">Riyadh Vision &amp; Eye Care Center</w:t>
      </w:r>
    </w:p>
    <w:p>
      <w:pPr>
        <w:pStyle w:val="FirstParagraph"/>
      </w:pPr>
      <w:r>
        <w:rPr>
          <w:bCs/>
          <w:b/>
        </w:rPr>
        <w:t xml:space="preserve">Specialized Ophthalmologist Clinic</w:t>
      </w:r>
    </w:p>
    <w:p>
      <w:pPr>
        <w:pStyle w:val="BodyText"/>
      </w:pPr>
      <w:r>
        <w:t xml:space="preserve">Al Olaya District, King Fahd Road</w:t>
      </w:r>
    </w:p>
    <w:p>
      <w:pPr>
        <w:pStyle w:val="BodyText"/>
      </w:pPr>
      <w:r>
        <w:t xml:space="preserve">Riyadh, 12214, Saudi Arabia</w:t>
      </w:r>
    </w:p>
    <w:p>
      <w:pPr>
        <w:pStyle w:val="BodyText"/>
      </w:pPr>
      <w:r>
        <w:t xml:space="preserve">Phone: +966 11 234 5678</w:t>
      </w:r>
    </w:p>
    <w:p>
      <w:pPr>
        <w:pStyle w:val="BodyText"/>
      </w:pPr>
      <w:r>
        <w:t xml:space="preserve">Email: billing@riyadhvision.sa</w:t>
      </w:r>
    </w:p>
    <w:p>
      <w:pPr>
        <w:pStyle w:val="BodyText"/>
      </w:pPr>
      <w:r>
        <w:t xml:space="preserve">VAT Registration Number: 300012345600003</w:t>
      </w:r>
    </w:p>
    <w:p>
      <w:pPr>
        <w:pStyle w:val="BodyText"/>
      </w:pPr>
      <w:r>
        <w:t xml:space="preserve">Commercial Registration (CR): 1010XXXXXX</w:t>
      </w:r>
    </w:p>
    <w:bookmarkEnd w:id="20"/>
    <w:bookmarkStart w:id="21" w:name="tax-invoice"/>
    <w:p>
      <w:pPr>
        <w:pStyle w:val="Heading2"/>
      </w:pPr>
      <w:r>
        <w:t xml:space="preserve">TAX INVOICE</w:t>
      </w:r>
    </w:p>
    <w:p>
      <w:pPr>
        <w:pStyle w:val="FirstParagraph"/>
      </w:pPr>
      <w:r>
        <w:t xml:space="preserve">Invoice Number: INV-2023-10-045</w:t>
      </w:r>
    </w:p>
    <w:p>
      <w:pPr>
        <w:pStyle w:val="BodyText"/>
      </w:pPr>
      <w:r>
        <w:t xml:space="preserve">Date of Issue: October 24, 2023</w:t>
      </w:r>
    </w:p>
    <w:p>
      <w:pPr>
        <w:pStyle w:val="BodyText"/>
      </w:pPr>
      <w:r>
        <w:t xml:space="preserve">Due Date: November 24, 2023</w:t>
      </w:r>
    </w:p>
    <w:p>
      <w:pPr>
        <w:pStyle w:val="BodyText"/>
      </w:pPr>
      <w:r>
        <w:t xml:space="preserve">Service Date: October 20, 2023</w:t>
      </w:r>
    </w:p>
    <w:bookmarkEnd w:id="21"/>
    <w:p>
      <w:pPr>
        <w:pStyle w:val="BodyText"/>
      </w:pPr>
      <w:r>
        <w:t xml:space="preserve">Patient / Client Information</w:t>
      </w:r>
    </w:p>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Name:</w:t>
            </w:r>
            <w:r>
              <w:t xml:space="preserve"> </w:t>
            </w:r>
            <w:r>
              <w:t xml:space="preserve">Ahmed Al-Fahad</w:t>
            </w:r>
            <w:r>
              <w:br/>
            </w:r>
            <w:r>
              <w:rPr>
                <w:bCs/>
                <w:b/>
              </w:rPr>
              <w:t xml:space="preserve">National ID / Iqama:</w:t>
            </w:r>
            <w:r>
              <w:t xml:space="preserve"> </w:t>
            </w:r>
            <w:r>
              <w:t xml:space="preserve">1098765432</w:t>
            </w:r>
            <w:r>
              <w:br/>
            </w:r>
            <w:r>
              <w:rPr>
                <w:bCs/>
                <w:b/>
              </w:rPr>
              <w:t xml:space="preserve">Insurance Provider:</w:t>
            </w:r>
            <w:r>
              <w:t xml:space="preserve"> </w:t>
            </w:r>
            <w:r>
              <w:t xml:space="preserve">Bupa Arabia</w:t>
            </w:r>
            <w:r>
              <w:br/>
            </w:r>
            <w:r>
              <w:rPr>
                <w:bCs/>
                <w:b/>
              </w:rPr>
              <w:t xml:space="preserve">Policy Number:</w:t>
            </w:r>
            <w:r>
              <w:t xml:space="preserve"> </w:t>
            </w:r>
            <w:r>
              <w:t xml:space="preserve">BUPA-998877</w:t>
            </w:r>
            <w:r>
              <w:br/>
            </w:r>
            <w:r>
              <w:rPr>
                <w:bCs/>
                <w:b/>
              </w:rPr>
              <w:t xml:space="preserve">Group Number:</w:t>
            </w:r>
            <w:r>
              <w:t xml:space="preserve"> </w:t>
            </w:r>
            <w:r>
              <w:t xml:space="preserve">GRP-5544</w:t>
            </w:r>
          </w:p>
        </w:tc>
        <w:tc>
          <w:tcPr/>
          <w:p>
            <w:pPr>
              <w:pStyle w:val="Compact"/>
              <w:jc w:val="left"/>
            </w:pPr>
            <w:r>
              <w:rPr>
                <w:bCs/>
                <w:b/>
              </w:rPr>
              <w:t xml:space="preserve">Address:</w:t>
            </w:r>
            <w:r>
              <w:t xml:space="preserve"> </w:t>
            </w:r>
            <w:r>
              <w:t xml:space="preserve">Al Malqa, Riyadh, Saudi Arabia</w:t>
            </w:r>
            <w:r>
              <w:br/>
            </w:r>
            <w:r>
              <w:rPr>
                <w:bCs/>
                <w:b/>
              </w:rPr>
              <w:t xml:space="preserve">Phone:</w:t>
            </w:r>
            <w:r>
              <w:t xml:space="preserve"> </w:t>
            </w:r>
            <w:r>
              <w:t xml:space="preserve">+966 50 123 4567</w:t>
            </w:r>
            <w:r>
              <w:br/>
            </w:r>
            <w:r>
              <w:rPr>
                <w:bCs/>
                <w:b/>
              </w:rPr>
              <w:t xml:space="preserve">Email:</w:t>
            </w:r>
            <w:r>
              <w:t xml:space="preserve"> </w:t>
            </w:r>
            <w:r>
              <w:t xml:space="preserve">ahmed.f@example.com</w:t>
            </w:r>
            <w:r>
              <w:br/>
            </w:r>
            <w:r>
              <w:rPr>
                <w:bCs/>
                <w:b/>
              </w:rPr>
              <w:t xml:space="preserve">Referring Physician:</w:t>
            </w:r>
            <w:r>
              <w:t xml:space="preserve"> </w:t>
            </w:r>
            <w:r>
              <w:t xml:space="preserve">Dr. Sarah Al-Saud (GP)</w:t>
            </w:r>
          </w:p>
        </w:tc>
      </w:tr>
    </w:tbl>
    <w:p>
      <w:pPr>
        <w:pStyle w:val="BodyText"/>
      </w:pPr>
      <w:r>
        <w:t xml:space="preserve">Ophthalmology Services Rendered</w:t>
      </w:r>
    </w:p>
    <w:p>
      <w:pPr>
        <w:pStyle w:val="BodyText"/>
      </w:pPr>
      <w:r>
        <w:t xml:space="preserve">The following invoice details the professional medical services provided by our board-certified Ophthalmologist in Riyadh, Saudi Arabia. These services include comprehensive eye examinations, diagnostic imaging, and specialized treatments in accordance with the regulations set by the Saudi Commission for Health Specialties (SCFHS).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Code</w:t>
            </w:r>
          </w:p>
        </w:tc>
        <w:tc>
          <w:tcPr/>
          <w:p>
            <w:pPr>
              <w:pStyle w:val="Compact"/>
              <w:jc w:val="left"/>
            </w:pPr>
            <w:r>
              <w:t xml:space="preserve">Qty</w:t>
            </w:r>
          </w:p>
        </w:tc>
        <w:tc>
          <w:tcPr/>
          <w:p>
            <w:pPr>
              <w:pStyle w:val="Compact"/>
              <w:jc w:val="left"/>
            </w:pPr>
            <w:r>
              <w:t xml:space="preserve">Unit Price (SAR)</w:t>
            </w:r>
          </w:p>
        </w:tc>
        <w:tc>
          <w:tcPr/>
          <w:p>
            <w:pPr>
              <w:pStyle w:val="Compact"/>
              <w:jc w:val="left"/>
            </w:pPr>
            <w:r>
              <w:t xml:space="preserve">Total (SAR)</w:t>
            </w:r>
          </w:p>
        </w:tc>
      </w:tr>
      <w:tr>
        <w:tc>
          <w:tcPr/>
          <w:p>
            <w:pPr>
              <w:pStyle w:val="Compact"/>
              <w:jc w:val="left"/>
            </w:pPr>
            <w:r>
              <w:t xml:space="preserve">1</w:t>
            </w:r>
          </w:p>
        </w:tc>
        <w:tc>
          <w:tcPr/>
          <w:p>
            <w:pPr>
              <w:pStyle w:val="Compact"/>
              <w:jc w:val="left"/>
            </w:pPr>
            <w:r>
              <w:t xml:space="preserve">Comprehensive Ophthalmological Examination including visual acuity, refraction, and slit-lamp biomicroscopy.</w:t>
            </w:r>
          </w:p>
        </w:tc>
        <w:tc>
          <w:tcPr/>
          <w:p>
            <w:pPr>
              <w:pStyle w:val="Compact"/>
              <w:jc w:val="left"/>
            </w:pPr>
            <w:r>
              <w:t xml:space="preserve">OPH-001</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2</w:t>
            </w:r>
          </w:p>
        </w:tc>
        <w:tc>
          <w:tcPr/>
          <w:p>
            <w:pPr>
              <w:pStyle w:val="Compact"/>
              <w:jc w:val="left"/>
            </w:pPr>
            <w:r>
              <w:t xml:space="preserve">Optical Coherence Tomography (OCT) Scan of the retina and optic nerve head.</w:t>
            </w:r>
          </w:p>
        </w:tc>
        <w:tc>
          <w:tcPr/>
          <w:p>
            <w:pPr>
              <w:pStyle w:val="Compact"/>
              <w:jc w:val="left"/>
            </w:pPr>
            <w:r>
              <w:t xml:space="preserve">IMG-045</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3</w:t>
            </w:r>
          </w:p>
        </w:tc>
        <w:tc>
          <w:tcPr/>
          <w:p>
            <w:pPr>
              <w:pStyle w:val="Compact"/>
              <w:jc w:val="left"/>
            </w:pPr>
            <w:r>
              <w:t xml:space="preserve">Dilated Fundus Examination to assess the health of the retina and macula.</w:t>
            </w:r>
          </w:p>
        </w:tc>
        <w:tc>
          <w:tcPr/>
          <w:p>
            <w:pPr>
              <w:pStyle w:val="Compact"/>
              <w:jc w:val="left"/>
            </w:pPr>
            <w:r>
              <w:t xml:space="preserve">OPH-012</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4</w:t>
            </w:r>
          </w:p>
        </w:tc>
        <w:tc>
          <w:tcPr/>
          <w:p>
            <w:pPr>
              <w:pStyle w:val="Compact"/>
              <w:jc w:val="left"/>
            </w:pPr>
            <w:r>
              <w:t xml:space="preserve">Prescription of corrective lenses (Glasses) following refraction analysis.</w:t>
            </w:r>
          </w:p>
        </w:tc>
        <w:tc>
          <w:tcPr/>
          <w:p>
            <w:pPr>
              <w:pStyle w:val="Compact"/>
              <w:jc w:val="left"/>
            </w:pPr>
            <w:r>
              <w:t xml:space="preserve">RX-005</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r>
      <w:tr>
        <w:tc>
          <w:tcPr/>
          <w:p>
            <w:pPr>
              <w:pStyle w:val="Compact"/>
              <w:jc w:val="left"/>
            </w:pPr>
            <w:r>
              <w:t xml:space="preserve">5</w:t>
            </w:r>
          </w:p>
        </w:tc>
        <w:tc>
          <w:tcPr/>
          <w:p>
            <w:pPr>
              <w:pStyle w:val="Compact"/>
              <w:jc w:val="left"/>
            </w:pPr>
            <w:r>
              <w:t xml:space="preserve">Consultation for Glaucoma screening and intraocular pressure measurement (Tonometry).</w:t>
            </w:r>
          </w:p>
        </w:tc>
        <w:tc>
          <w:tcPr/>
          <w:p>
            <w:pPr>
              <w:pStyle w:val="Compact"/>
              <w:jc w:val="left"/>
            </w:pPr>
            <w:r>
              <w:t xml:space="preserve">OPH-020</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bl>
    <w:p>
      <w:pPr>
        <w:pStyle w:val="BodyText"/>
      </w:pPr>
      <w:r>
        <w:t xml:space="preserve">Subtotal: SAR 1,350.00</w:t>
      </w:r>
    </w:p>
    <w:p>
      <w:pPr>
        <w:pStyle w:val="BodyText"/>
      </w:pPr>
      <w:r>
        <w:t xml:space="preserve">VAT (15%): SAR 202.50</w:t>
      </w:r>
    </w:p>
    <w:p>
      <w:pPr>
        <w:pStyle w:val="BodyText"/>
      </w:pPr>
      <w:r>
        <w:t xml:space="preserve">Grand Total: SAR 1,552.50</w:t>
      </w:r>
    </w:p>
    <w:p>
      <w:pPr>
        <w:pStyle w:val="BodyText"/>
      </w:pPr>
      <w:r>
        <w:t xml:space="preserve">Amount in words: One Thousand Five Hundred Fifty-Two Saudi Riyals and Fifty Halalas only.</w:t>
      </w:r>
    </w:p>
    <w:p>
      <w:pPr>
        <w:pStyle w:val="BodyText"/>
      </w:pPr>
      <w:r>
        <w:t xml:space="preserve">Payment Terms and Conditions</w:t>
      </w:r>
    </w:p>
    <w:p>
      <w:pPr>
        <w:pStyle w:val="BodyText"/>
      </w:pPr>
      <w:r>
        <w:t xml:space="preserve">This invoice is issued in compliance with the Zakat, Tax and Customs Authority (ZATCA) regulations in Saudi Arabia. Payment is due within 30 days from the date of issue. Please ensure that the invoice number is referenced on all payments.</w:t>
      </w:r>
    </w:p>
    <w:p>
      <w:pPr>
        <w:pStyle w:val="BodyText"/>
      </w:pPr>
      <w:r>
        <w:rPr>
          <w:bCs/>
          <w:b/>
        </w:rPr>
        <w:t xml:space="preserve">Bank Transfer Details:</w:t>
      </w:r>
      <w:r>
        <w:br/>
      </w:r>
      <w:r>
        <w:t xml:space="preserve">Bank Name: Al Rajhi Bank</w:t>
      </w:r>
      <w:r>
        <w:br/>
      </w:r>
      <w:r>
        <w:t xml:space="preserve">Account Name: Riyadh Vision &amp; Eye Care Center</w:t>
      </w:r>
      <w:r>
        <w:br/>
      </w:r>
      <w:r>
        <w:t xml:space="preserve">IBAN: SA03 8000 0000 6080 1016 7519</w:t>
      </w:r>
      <w:r>
        <w:br/>
      </w:r>
      <w:r>
        <w:t xml:space="preserve">SWIFT Code: RJHISARI</w:t>
      </w:r>
    </w:p>
    <w:p>
      <w:pPr>
        <w:pStyle w:val="BodyText"/>
      </w:pPr>
      <w:r>
        <w:t xml:space="preserve">For insurance claims, please submit this original invoice along with the medical report to your respective insurance provider. Our billing department is available to assist with any queries regarding this invoice or the services provided by our Ophthalmologist team in Riyadh.</w:t>
      </w:r>
    </w:p>
    <w:p>
      <w:pPr>
        <w:pStyle w:val="BodyText"/>
      </w:pPr>
      <w:r>
        <w:rPr>
          <w:bCs/>
          <w:b/>
        </w:rPr>
        <w:t xml:space="preserve">Riyadh Vision &amp; Eye Care Center</w:t>
      </w:r>
      <w:r>
        <w:t xml:space="preserve"> </w:t>
      </w:r>
      <w:r>
        <w:t xml:space="preserve">is a licensed medical facility operating under the Ministry of Health, Saudi Arabia. We are committed to providing the highest standard of ophthalmic care in Riyadh. This document serves as an official receipt and tax invoice for the services rendered.</w:t>
      </w:r>
    </w:p>
    <w:p>
      <w:pPr>
        <w:pStyle w:val="BodyText"/>
      </w:pPr>
      <w:r>
        <w:t xml:space="preserve">Thank you for choosing our services. We wish you continued good health and clear vision.</w:t>
      </w:r>
    </w:p>
    <w:p>
      <w:pPr>
        <w:pStyle w:val="BodyText"/>
      </w:pPr>
      <w:r>
        <w:rPr>
          <w:bCs/>
          <w:b/>
        </w:rPr>
        <w:t xml:space="preserve">Authorized Signature</w:t>
      </w:r>
    </w:p>
    <w:p>
      <w:pPr>
        <w:pStyle w:val="BodyText"/>
      </w:pPr>
      <w:r>
        <w:t xml:space="preserve">Dr. Khalid Al-Mutairi</w:t>
      </w:r>
    </w:p>
    <w:p>
      <w:pPr>
        <w:pStyle w:val="BodyText"/>
      </w:pPr>
      <w:r>
        <w:t xml:space="preserve">Chief Ophthalmologist</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Ophthalmology Services - Riyadh, Saudi Arabia</dc:title>
  <dc:creator/>
  <dc:language>en</dc:language>
  <cp:keywords/>
  <dcterms:created xsi:type="dcterms:W3CDTF">2026-10-10T08:03:24Z</dcterms:created>
  <dcterms:modified xsi:type="dcterms:W3CDTF">2026-10-10T08:03:24Z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