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clínica-ocular-madrid"/>
    <w:p>
      <w:pPr>
        <w:pStyle w:val="Heading1"/>
      </w:pPr>
      <w:r>
        <w:t xml:space="preserve">Clínica Ocular Madrid</w:t>
      </w:r>
    </w:p>
    <w:p>
      <w:pPr>
        <w:pStyle w:val="FirstParagraph"/>
      </w:pPr>
      <w:r>
        <w:rPr>
          <w:bCs/>
          <w:b/>
        </w:rPr>
        <w:t xml:space="preserve">Specialized Ophthalmology Center</w:t>
      </w:r>
    </w:p>
    <w:p>
      <w:pPr>
        <w:pStyle w:val="BodyText"/>
      </w:pPr>
      <w:r>
        <w:t xml:space="preserve">Calle de Serrano, 45, 28001 Madrid, Spain</w:t>
      </w:r>
    </w:p>
    <w:p>
      <w:pPr>
        <w:pStyle w:val="BodyText"/>
      </w:pPr>
      <w:r>
        <w:t xml:space="preserve">Phone: +34 91 123 45 67</w:t>
      </w:r>
    </w:p>
    <w:p>
      <w:pPr>
        <w:pStyle w:val="BodyText"/>
      </w:pPr>
      <w:r>
        <w:t xml:space="preserve">Email: billing@clinicocular-madrid.es</w:t>
      </w:r>
    </w:p>
    <w:p>
      <w:pPr>
        <w:pStyle w:val="BodyText"/>
      </w:pPr>
      <w:r>
        <w:t xml:space="preserve">NIF (Tax ID): B-87654321</w:t>
      </w:r>
    </w:p>
    <w:p>
      <w:pPr>
        <w:pStyle w:val="BodyText"/>
      </w:pPr>
      <w:r>
        <w:t xml:space="preserve">Collegiate Number: COO-12345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Juan Carlos Pérez García</w:t>
      </w:r>
    </w:p>
    <w:p>
      <w:pPr>
        <w:pStyle w:val="BodyText"/>
      </w:pPr>
      <w:r>
        <w:rPr>
          <w:bCs/>
          <w:b/>
        </w:rPr>
        <w:t xml:space="preserve">Address:</w:t>
      </w:r>
      <w:r>
        <w:t xml:space="preserve"> </w:t>
      </w:r>
      <w:r>
        <w:t xml:space="preserve">Paseo de la Castellana, 100, 28046 Madrid, Spain</w:t>
      </w:r>
    </w:p>
    <w:p>
      <w:pPr>
        <w:pStyle w:val="BodyText"/>
      </w:pPr>
      <w:r>
        <w:rPr>
          <w:bCs/>
          <w:b/>
        </w:rPr>
        <w:t xml:space="preserve">ID Number (DNI/NIE):</w:t>
      </w:r>
      <w:r>
        <w:t xml:space="preserve"> </w:t>
      </w:r>
      <w:r>
        <w:t xml:space="preserve">12345678-Z</w:t>
      </w:r>
    </w:p>
    <w:p>
      <w:pPr>
        <w:pStyle w:val="BodyText"/>
      </w:pPr>
      <w:r>
        <w:rPr>
          <w:bCs/>
          <w:b/>
        </w:rPr>
        <w:t xml:space="preserve">Insurance Provider:</w:t>
      </w:r>
      <w:r>
        <w:t xml:space="preserve"> </w:t>
      </w:r>
      <w:r>
        <w:t xml:space="preserve">Sanitas (Policy #99887766)</w:t>
      </w:r>
    </w:p>
    <w:bookmarkEnd w:id="22"/>
    <w:bookmarkStart w:id="23" w:name="service-details"/>
    <w:p>
      <w:pPr>
        <w:pStyle w:val="Heading3"/>
      </w:pPr>
      <w:r>
        <w:t xml:space="preserve">Service Details:</w:t>
      </w:r>
    </w:p>
    <w:p>
      <w:pPr>
        <w:pStyle w:val="FirstParagraph"/>
      </w:pPr>
      <w:r>
        <w:rPr>
          <w:bCs/>
          <w:b/>
        </w:rPr>
        <w:t xml:space="preserve">Attending Ophthalmologist:</w:t>
      </w:r>
      <w:r>
        <w:t xml:space="preserve"> </w:t>
      </w:r>
      <w:r>
        <w:t xml:space="preserve">Dr. Elena Ruiz López</w:t>
      </w:r>
    </w:p>
    <w:p>
      <w:pPr>
        <w:pStyle w:val="BodyText"/>
      </w:pPr>
      <w:r>
        <w:rPr>
          <w:bCs/>
          <w:b/>
        </w:rPr>
        <w:t xml:space="preserve">Consultation Date:</w:t>
      </w:r>
      <w:r>
        <w:t xml:space="preserve"> </w:t>
      </w:r>
      <w:r>
        <w:t xml:space="preserve">October 20, 2023</w:t>
      </w:r>
    </w:p>
    <w:p>
      <w:pPr>
        <w:pStyle w:val="BodyText"/>
      </w:pPr>
      <w:r>
        <w:rPr>
          <w:bCs/>
          <w:b/>
        </w:rPr>
        <w:t xml:space="preserve">Diagnosis Code (ICD-10):</w:t>
      </w:r>
      <w:r>
        <w:t xml:space="preserve"> </w:t>
      </w:r>
      <w:r>
        <w:t xml:space="preserve">H40.10 (Primary open-angle glaucoma)</w:t>
      </w:r>
    </w:p>
    <w:p>
      <w:pPr>
        <w:pStyle w:val="BodyText"/>
      </w:pPr>
      <w:r>
        <w:rPr>
          <w:bCs/>
          <w:b/>
        </w:rPr>
        <w:t xml:space="preserve">Procedure Code:</w:t>
      </w:r>
      <w:r>
        <w:t xml:space="preserve"> </w:t>
      </w:r>
      <w:r>
        <w:t xml:space="preserve">09.01.01 (Ophthalmological Consultation)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and slit-lamp biomicroscopy performed by a certified Ophthalmologist in Madrid.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Advanced retinal imaging to assess macular health and optic nerve structure. Essential for glaucoma monitoring.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3</w:t>
            </w:r>
          </w:p>
        </w:tc>
        <w:tc>
          <w:tcPr/>
          <w:p>
            <w:pPr>
              <w:pStyle w:val="Compact"/>
              <w:jc w:val="left"/>
            </w:pPr>
            <w:r>
              <w:rPr>
                <w:bCs/>
                <w:b/>
              </w:rPr>
              <w:t xml:space="preserve">Visual Field Test (Perimetry)</w:t>
            </w:r>
            <w:r>
              <w:br/>
            </w:r>
            <w:r>
              <w:t xml:space="preserve">Automated perimetry to evaluate peripheral vision and detect field defects associated with neurological or ocular conditions.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4</w:t>
            </w:r>
          </w:p>
        </w:tc>
        <w:tc>
          <w:tcPr/>
          <w:p>
            <w:pPr>
              <w:pStyle w:val="Compact"/>
              <w:jc w:val="left"/>
            </w:pPr>
            <w:r>
              <w:rPr>
                <w:bCs/>
                <w:b/>
              </w:rPr>
              <w:t xml:space="preserve">Prescription Medication Consultation</w:t>
            </w:r>
            <w:r>
              <w:br/>
            </w:r>
            <w:r>
              <w:t xml:space="preserve">Prescription for topical antiglaucoma medication and follow-up instructions provided by the Ophthalmologist.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Medical Report Issuance</w:t>
            </w:r>
            <w:r>
              <w:br/>
            </w:r>
            <w:r>
              <w:t xml:space="preserve">Detailed clinical report for insurance purposes or referral to other specialists within the Madrid healthcare network.</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t xml:space="preserve">370.00 €</w:t>
      </w:r>
    </w:p>
    <w:p>
      <w:pPr>
        <w:pStyle w:val="BodyText"/>
      </w:pPr>
      <w:r>
        <w:t xml:space="preserve">VAT (IVA) 21%:</w:t>
      </w:r>
      <w:r>
        <w:t xml:space="preserve"> </w:t>
      </w:r>
      <w:r>
        <w:t xml:space="preserve">77.70 €</w:t>
      </w:r>
    </w:p>
    <w:p>
      <w:pPr>
        <w:pStyle w:val="BodyText"/>
      </w:pPr>
      <w:r>
        <w:t xml:space="preserve">Insurance Deduction (if applicable):</w:t>
      </w:r>
      <w:r>
        <w:t xml:space="preserve"> </w:t>
      </w:r>
      <w:r>
        <w:t xml:space="preserve">-150.00 €</w:t>
      </w:r>
    </w:p>
    <w:p>
      <w:pPr>
        <w:pStyle w:val="BodyText"/>
      </w:pPr>
      <w:r>
        <w:t xml:space="preserve">TOTAL DUE:</w:t>
      </w:r>
      <w:r>
        <w:t xml:space="preserve"> </w:t>
      </w:r>
      <w:r>
        <w:t xml:space="preserve">297.70 €</w:t>
      </w:r>
    </w:p>
    <w:bookmarkStart w:id="24" w:name="payment-instructions-notes"/>
    <w:p>
      <w:pPr>
        <w:pStyle w:val="Heading3"/>
      </w:pPr>
      <w:r>
        <w:t xml:space="preserve">Payment Instructions &amp; Notes:</w:t>
      </w:r>
    </w:p>
    <w:p>
      <w:pPr>
        <w:pStyle w:val="FirstParagraph"/>
      </w:pPr>
      <w:r>
        <w:rPr>
          <w:bCs/>
          <w:b/>
        </w:rPr>
        <w:t xml:space="preserve">Bank Transfer (IBAN):</w:t>
      </w:r>
      <w:r>
        <w:t xml:space="preserve"> </w:t>
      </w:r>
      <w:r>
        <w:t xml:space="preserve">ES91 2100 0418 4502 0005 1332</w:t>
      </w:r>
      <w:r>
        <w:br/>
      </w:r>
      <w:r>
        <w:rPr>
          <w:bCs/>
          <w:b/>
        </w:rPr>
        <w:t xml:space="preserve">Bank Name:</w:t>
      </w:r>
      <w:r>
        <w:t xml:space="preserve"> </w:t>
      </w:r>
      <w:r>
        <w:t xml:space="preserve">Banco Santander, Madrid Branch</w:t>
      </w:r>
      <w:r>
        <w:br/>
      </w:r>
      <w:r>
        <w:rPr>
          <w:bCs/>
          <w:b/>
        </w:rPr>
        <w:t xml:space="preserve">Reference:</w:t>
      </w:r>
      <w:r>
        <w:t xml:space="preserve"> </w:t>
      </w:r>
      <w:r>
        <w:t xml:space="preserve">Please use Invoice Number INV-2023-10-089 as the reference.</w:t>
      </w:r>
    </w:p>
    <w:p>
      <w:pPr>
        <w:pStyle w:val="BodyText"/>
      </w:pPr>
      <w:r>
        <w:t xml:space="preserve">Payment is due within 30 days from the date of issue. Late payments may incur a statutory interest charge in accordance with Spanish Law 3/2004 on the prevention of late payments in commercial transactions.</w:t>
      </w:r>
    </w:p>
    <w:p>
      <w:pPr>
        <w:pStyle w:val="BodyText"/>
      </w:pPr>
      <w:r>
        <w:t xml:space="preserve">This Invoice serves as an official record of the ophthalmological services rendered in Madrid, Spain. Please retain this document for your personal medical records and insurance claims. If you have any questions regarding the charges or the medical procedures performed by our Ophthalmologist, please contact our billing department directly.</w:t>
      </w:r>
    </w:p>
    <w:bookmarkEnd w:id="24"/>
    <w:p>
      <w:pPr>
        <w:pStyle w:val="BodyText"/>
      </w:pPr>
      <w:r>
        <w:rPr>
          <w:bCs/>
          <w:b/>
        </w:rPr>
        <w:t xml:space="preserve">Legal Notice:</w:t>
      </w:r>
      <w:r>
        <w:t xml:space="preserve"> </w:t>
      </w:r>
      <w:r>
        <w:t xml:space="preserve">This document is issued in compliance with the Spanish Tax Agency (Agencia Tributaria) regulations. Clínica Ocular Madrid is a registered healthcare provider in the Community of Madrid. All ophthalmological procedures listed above were performed by licensed professionals adhering to the standards set by the Spanish Society of Ophthalmology (SEOR). The prices listed include the professional fees of the Ophthalmologist and the use of clinical facilities. VAT (IVA) is applied at the standard rate of 21% as per current Spanish tax law for private medical services not covered by the public health system. In the event of a dispute, the parties submit to the courts of Madrid, Spain. Patient data is processed in accordance with the General Data Protection Regulation (GDPR) and the Spanish Organic Law 3/2018 on Personal Data Protection.</w:t>
      </w:r>
    </w:p>
    <w:p>
      <w:pPr>
        <w:pStyle w:val="BodyText"/>
      </w:pPr>
      <w:r>
        <w:t xml:space="preserve">Thank you for trusting our specialized Ophthalmology team in Madrid for your eye care needs. We are committed to providing high-quality vision care and maintaining transparent financial practices.</w:t>
      </w:r>
    </w:p>
    <w:p>
      <w:pPr>
        <w:pStyle w:val="BodyText"/>
      </w:pPr>
      <w:r>
        <w:t xml:space="preserve">Clínica Ocular Madrid © 2023. All rights reserved.</w:t>
      </w:r>
    </w:p>
    <w:p>
      <w:pPr>
        <w:pStyle w:val="BodyText"/>
      </w:pPr>
      <w:r>
        <w:t xml:space="preserve">Calle de Serrano, 45, 28001 Madrid, Spain | +34 91 123 45 67 | www.clinicocular-madrid.es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Madrid, Spain</dc:title>
  <dc:creator/>
  <dc:language>en</dc:language>
  <cp:keywords/>
  <dcterms:created xsi:type="dcterms:W3CDTF">2026-10-10T09:07:07Z</dcterms:created>
  <dcterms:modified xsi:type="dcterms:W3CDTF">2026-10-10T09:07:07Z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