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Practice</w:t>
      </w:r>
      <w:r>
        <w:t xml:space="preserve"> </w:t>
      </w:r>
      <w:r>
        <w:t xml:space="preserve">Zurich</w:t>
      </w:r>
    </w:p>
    <w:bookmarkStart w:id="21" w:name="zurich-vision-institute"/>
    <w:p>
      <w:pPr>
        <w:pStyle w:val="Heading1"/>
      </w:pPr>
      <w:r>
        <w:t xml:space="preserve">Zurich Vision Institute</w:t>
      </w:r>
    </w:p>
    <w:bookmarkStart w:id="20" w:name="specialized-ophthalmology-optometry"/>
    <w:p>
      <w:pPr>
        <w:pStyle w:val="Heading2"/>
      </w:pPr>
      <w:r>
        <w:t xml:space="preserve">Specialized Ophthalmology &amp; Optometry</w:t>
      </w:r>
    </w:p>
    <w:p>
      <w:pPr>
        <w:pStyle w:val="FirstParagraph"/>
      </w:pPr>
      <w:r>
        <w:t xml:space="preserve">Dr. med. Elena Müller, FMH Ophthalmology</w:t>
      </w:r>
    </w:p>
    <w:p>
      <w:pPr>
        <w:pStyle w:val="BodyText"/>
      </w:pPr>
      <w:r>
        <w:t xml:space="preserve">Bahnhofstrasse 45, 8001 Zurich, Switzerland</w:t>
      </w:r>
    </w:p>
    <w:p>
      <w:pPr>
        <w:pStyle w:val="BodyText"/>
      </w:pPr>
      <w:r>
        <w:t xml:space="preserve">Tel: +41 44 123 45 67 | Email: billing@zurichvision.ch</w:t>
      </w:r>
    </w:p>
    <w:p>
      <w:pPr>
        <w:pStyle w:val="BodyText"/>
      </w:pPr>
      <w:r>
        <w:t xml:space="preserve">VAT ID: CHE-123.456.789 MWST</w:t>
      </w:r>
    </w:p>
    <w:bookmarkEnd w:id="20"/>
    <w:bookmarkEnd w:id="21"/>
    <w:bookmarkStart w:id="22" w:name="invoice"/>
    <w:p>
      <w:pPr>
        <w:pStyle w:val="Heading3"/>
      </w:pPr>
      <w:r>
        <w:t xml:space="preserve">INVOICE</w:t>
      </w:r>
    </w:p>
    <w:p>
      <w:pPr>
        <w:pStyle w:val="FirstParagraph"/>
      </w:pPr>
      <w:r>
        <w:rPr>
          <w:bCs/>
          <w:b/>
        </w:rPr>
        <w:t xml:space="preserve">Invoice No:</w:t>
      </w:r>
      <w:r>
        <w:t xml:space="preserve"> </w:t>
      </w:r>
      <w:r>
        <w:t xml:space="preserve">ZVI-2023-10-892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2"/>
    <w:p>
      <w:pPr>
        <w:pStyle w:val="BodyText"/>
      </w:pPr>
      <w:r>
        <w:t xml:space="preserve">Bill To (Patient)</w:t>
      </w:r>
    </w:p>
    <w:p>
      <w:pPr>
        <w:pStyle w:val="BodyText"/>
      </w:pPr>
      <w:r>
        <w:rPr>
          <w:bCs/>
          <w:b/>
        </w:rPr>
        <w:t xml:space="preserve">Mr. Hans Weber</w:t>
      </w:r>
    </w:p>
    <w:p>
      <w:pPr>
        <w:pStyle w:val="BodyText"/>
      </w:pPr>
      <w:r>
        <w:t xml:space="preserve">Rämistrasse 101</w:t>
      </w:r>
    </w:p>
    <w:p>
      <w:pPr>
        <w:pStyle w:val="BodyText"/>
      </w:pPr>
      <w:r>
        <w:t xml:space="preserve">8006 Zurich, Switzerland</w:t>
      </w:r>
    </w:p>
    <w:p>
      <w:pPr>
        <w:pStyle w:val="BodyText"/>
      </w:pPr>
      <w:r>
        <w:t xml:space="preserve">AVS/AHV No: 756.1234.5678.95</w:t>
      </w:r>
    </w:p>
    <w:p>
      <w:pPr>
        <w:pStyle w:val="BodyText"/>
      </w:pPr>
      <w:r>
        <w:t xml:space="preserve">Insurance Provider</w:t>
      </w:r>
    </w:p>
    <w:p>
      <w:pPr>
        <w:pStyle w:val="BodyText"/>
      </w:pPr>
      <w:r>
        <w:rPr>
          <w:bCs/>
          <w:b/>
        </w:rPr>
        <w:t xml:space="preserve">Swiss Life Assurance Company</w:t>
      </w:r>
    </w:p>
    <w:p>
      <w:pPr>
        <w:pStyle w:val="BodyText"/>
      </w:pPr>
      <w:r>
        <w:t xml:space="preserve">Policy No: SL-9988776655</w:t>
      </w:r>
    </w:p>
    <w:p>
      <w:pPr>
        <w:pStyle w:val="BodyText"/>
      </w:pPr>
      <w:r>
        <w:t xml:space="preserve">Group No: ZRH-CORP-001</w:t>
      </w:r>
    </w:p>
    <w:p>
      <w:pPr>
        <w:pStyle w:val="BodyText"/>
      </w:pPr>
      <w:r>
        <w:t xml:space="preserve">Reference: Ophthalmology Consultation</w:t>
      </w:r>
    </w:p>
    <w:p>
      <w:pPr>
        <w:pStyle w:val="BodyText"/>
      </w:pPr>
      <w:r>
        <w:t xml:space="preserve">Description of Ophthalmological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20010</w:t>
            </w:r>
          </w:p>
        </w:tc>
        <w:tc>
          <w:tcPr/>
          <w:p>
            <w:pPr>
              <w:pStyle w:val="Compact"/>
              <w:jc w:val="left"/>
            </w:pPr>
            <w:r>
              <w:rPr>
                <w:bCs/>
                <w:b/>
              </w:rPr>
              <w:t xml:space="preserve">Comprehensive Ophthalmological Examination</w:t>
            </w:r>
            <w:r>
              <w:br/>
            </w:r>
            <w:r>
              <w:t xml:space="preserve">Detailed consultation regarding visual acuity complaints. Includes history taking, slit-lamp biomicroscopy of the anterior segment, and assessment of ocular motility. Performed in accordance with FMH guidelines for ophthalmology in Zurich.</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20020</w:t>
            </w:r>
          </w:p>
        </w:tc>
        <w:tc>
          <w:tcPr/>
          <w:p>
            <w:pPr>
              <w:pStyle w:val="Compact"/>
              <w:jc w:val="left"/>
            </w:pPr>
            <w:r>
              <w:rPr>
                <w:bCs/>
                <w:b/>
              </w:rPr>
              <w:t xml:space="preserve">Dilated Fundus Examination</w:t>
            </w:r>
            <w:r>
              <w:br/>
            </w:r>
            <w:r>
              <w:t xml:space="preserve">Pharmacological mydriasis (pupil dilation) followed by indirect ophthalmoscopy to evaluate the retina, macula, and optic nerve head. Essential for ruling out retinal detachment or diabetic retinopathy.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20030</w:t>
            </w:r>
          </w:p>
        </w:tc>
        <w:tc>
          <w:tcPr/>
          <w:p>
            <w:pPr>
              <w:pStyle w:val="Compact"/>
              <w:jc w:val="left"/>
            </w:pPr>
            <w:r>
              <w:rPr>
                <w:bCs/>
                <w:b/>
              </w:rPr>
              <w:t xml:space="preserve">Optical Coherence Tomography (OCT)</w:t>
            </w:r>
            <w:r>
              <w:br/>
            </w:r>
            <w:r>
              <w:t xml:space="preserve">High-resolution cross-sectional imaging of the retina. Used to assess macular thickness and detect early signs of glaucoma or macular degeneration. Includes analysis and interpretation by the attending ophthalmologist.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20040</w:t>
            </w:r>
          </w:p>
        </w:tc>
        <w:tc>
          <w:tcPr/>
          <w:p>
            <w:pPr>
              <w:pStyle w:val="Compact"/>
              <w:jc w:val="left"/>
            </w:pPr>
            <w:r>
              <w:rPr>
                <w:bCs/>
                <w:b/>
              </w:rPr>
              <w:t xml:space="preserve">Visual Field Test (Perimetry)</w:t>
            </w:r>
            <w:r>
              <w:br/>
            </w:r>
            <w:r>
              <w:t xml:space="preserve">Automated static perimetry (Humphrey Field Analyzer) to map the peripheral vision. Critical for monitoring glaucoma progression and neurological visual field defects.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20050</w:t>
            </w:r>
          </w:p>
        </w:tc>
        <w:tc>
          <w:tcPr/>
          <w:p>
            <w:pPr>
              <w:pStyle w:val="Compact"/>
              <w:jc w:val="left"/>
            </w:pPr>
            <w:r>
              <w:rPr>
                <w:bCs/>
                <w:b/>
              </w:rPr>
              <w:t xml:space="preserve">Intraocular Pressure Measurement</w:t>
            </w:r>
            <w:r>
              <w:br/>
            </w:r>
            <w:r>
              <w:t xml:space="preserve">Goldmann applanation tonometry to measure eye pressure. Standard procedure for glaucoma screening and management within the Zurich Vision Institute protocol.</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20060</w:t>
            </w:r>
          </w:p>
        </w:tc>
        <w:tc>
          <w:tcPr/>
          <w:p>
            <w:pPr>
              <w:pStyle w:val="Compact"/>
              <w:jc w:val="left"/>
            </w:pPr>
            <w:r>
              <w:rPr>
                <w:bCs/>
                <w:b/>
              </w:rPr>
              <w:t xml:space="preserve">Refraction and Prescription Update</w:t>
            </w:r>
            <w:r>
              <w:br/>
            </w:r>
            <w:r>
              <w:t xml:space="preserve">Subjective and objective refraction to determine precise corrective lens requirements. Includes prescription for glasses or contact lenses.</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20070</w:t>
            </w:r>
          </w:p>
        </w:tc>
        <w:tc>
          <w:tcPr/>
          <w:p>
            <w:pPr>
              <w:pStyle w:val="Compact"/>
              <w:jc w:val="left"/>
            </w:pPr>
            <w:r>
              <w:rPr>
                <w:bCs/>
                <w:b/>
              </w:rPr>
              <w:t xml:space="preserve">Corneal Topography</w:t>
            </w:r>
            <w:r>
              <w:br/>
            </w:r>
            <w:r>
              <w:t xml:space="preserve">Mapping of the corneal surface curvature. Utilized for contact lens fitting and pre-operative assessment for refractive surgery candidates.</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bl>
    <w:p>
      <w:pPr>
        <w:pStyle w:val="BodyText"/>
      </w:pPr>
      <w:r>
        <w:t xml:space="preserve">Subtotal (CHF)</w:t>
      </w:r>
      <w:r>
        <w:t xml:space="preserve"> </w:t>
      </w:r>
      <w:r>
        <w:t xml:space="preserve">990.00</w:t>
      </w:r>
    </w:p>
    <w:p>
      <w:pPr>
        <w:pStyle w:val="BodyText"/>
      </w:pPr>
      <w:r>
        <w:t xml:space="preserve">VAT (8.1%)</w:t>
      </w:r>
      <w:r>
        <w:t xml:space="preserve"> </w:t>
      </w:r>
      <w:r>
        <w:t xml:space="preserve">80.19</w:t>
      </w:r>
    </w:p>
    <w:p>
      <w:pPr>
        <w:pStyle w:val="BodyText"/>
      </w:pPr>
      <w:r>
        <w:t xml:space="preserve">Total Amount Due</w:t>
      </w:r>
      <w:r>
        <w:t xml:space="preserve"> </w:t>
      </w:r>
      <w:r>
        <w:t xml:space="preserve">CHF 1,070.19</w:t>
      </w:r>
    </w:p>
    <w:bookmarkStart w:id="23"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UBS Switzerland AG</w:t>
      </w:r>
      <w:r>
        <w:br/>
      </w:r>
      <w:r>
        <w:rPr>
          <w:bCs/>
          <w:b/>
        </w:rPr>
        <w:t xml:space="preserve">IBAN:</w:t>
      </w:r>
      <w:r>
        <w:t xml:space="preserve"> </w:t>
      </w:r>
      <w:r>
        <w:t xml:space="preserve">CH93 0076 2011 6238 5295 7</w:t>
      </w:r>
      <w:r>
        <w:br/>
      </w:r>
      <w:r>
        <w:rPr>
          <w:bCs/>
          <w:b/>
        </w:rPr>
        <w:t xml:space="preserve">BIC:</w:t>
      </w:r>
      <w:r>
        <w:t xml:space="preserve"> </w:t>
      </w:r>
      <w:r>
        <w:t xml:space="preserve">UBSWCHZH80A</w:t>
      </w:r>
      <w:r>
        <w:br/>
      </w:r>
      <w:r>
        <w:rPr>
          <w:bCs/>
          <w:b/>
        </w:rPr>
        <w:t xml:space="preserve">Reference:</w:t>
      </w:r>
      <w:r>
        <w:t xml:space="preserve"> </w:t>
      </w:r>
      <w:r>
        <w:t xml:space="preserve">ZVI-2023-10-892 / Hans Weber</w:t>
      </w:r>
    </w:p>
    <w:bookmarkEnd w:id="23"/>
    <w:bookmarkStart w:id="24" w:name="X275ef0b28370417191c67cba844d93a6b5cf130"/>
    <w:p>
      <w:pPr>
        <w:pStyle w:val="Heading4"/>
      </w:pPr>
      <w:r>
        <w:t xml:space="preserve">Important Information Regarding Ophthalmology Services in Zurich</w:t>
      </w:r>
    </w:p>
    <w:p>
      <w:pPr>
        <w:pStyle w:val="FirstParagraph"/>
      </w:pPr>
      <w:r>
        <w:t xml:space="preserve">This invoice reflects the standard fee schedule for specialized ophthalmological care in Zurich, Switzerland. As a member of the Swiss Medical Association (FMH), Dr. Müller adheres to the highest standards of clinical practice. The services listed above are covered under the Swiss Federal Health Insurance Act (KVG/LAMal) up to the limits defined by your specific insurance policy.</w:t>
      </w:r>
    </w:p>
    <w:p>
      <w:pPr>
        <w:pStyle w:val="BodyText"/>
      </w:pPr>
      <w:r>
        <w:t xml:space="preserve">Please note that while basic ophthalmological examinations are mandatory benefits, advanced diagnostic imaging such as OCT and Corneal Topography may be subject to your insurance plan's specific coverage terms or may require a co-payment (franchise). If this invoice is being submitted for reimbursement, please ensure you attach this document along with any required medical reports to your insurance provider.</w:t>
      </w:r>
    </w:p>
    <w:p>
      <w:pPr>
        <w:pStyle w:val="BodyText"/>
      </w:pPr>
      <w:r>
        <w:t xml:space="preserve">For any questions regarding this invoice or your ophthalmological treatment plan, please contact our billing department in Zurich directly. We are committed to providing transparent and accurate billing for all our patients.</w:t>
      </w:r>
    </w:p>
    <w:bookmarkEnd w:id="24"/>
    <w:p>
      <w:pPr>
        <w:pStyle w:val="BodyText"/>
      </w:pPr>
      <w:r>
        <w:t xml:space="preserve">Zurich Vision Institute | Bahnhofstrasse 45, 8001 Zurich, Switzerland</w:t>
      </w:r>
    </w:p>
    <w:p>
      <w:pPr>
        <w:pStyle w:val="BodyText"/>
      </w:pPr>
      <w:r>
        <w:t xml:space="preserve">Thank you for choosing our ophthalmology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Practice Zurich</dc:title>
  <dc:creator/>
  <dc:language>en</dc:language>
  <cp:keywords/>
  <dcterms:created xsi:type="dcterms:W3CDTF">2026-10-10T07:34:00Z</dcterms:created>
  <dcterms:modified xsi:type="dcterms:W3CDTF">2026-10-10T07:34:00Z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