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Ophthalmology</w:t>
      </w:r>
      <w:r>
        <w:t xml:space="preserve"> </w:t>
      </w:r>
      <w:r>
        <w:t xml:space="preserve">Invoice</w:t>
      </w:r>
      <w:r>
        <w:t xml:space="preserve"> </w:t>
      </w:r>
      <w:r>
        <w:t xml:space="preserve">-</w:t>
      </w:r>
      <w:r>
        <w:t xml:space="preserve"> </w:t>
      </w:r>
      <w:r>
        <w:t xml:space="preserve">Caracas,</w:t>
      </w:r>
      <w:r>
        <w:t xml:space="preserve"> </w:t>
      </w:r>
      <w:r>
        <w:t xml:space="preserve">Venezuela</w:t>
      </w:r>
    </w:p>
    <w:bookmarkStart w:id="20" w:name="clínica-ocular-caracas"/>
    <w:p>
      <w:pPr>
        <w:pStyle w:val="Heading1"/>
      </w:pPr>
      <w:r>
        <w:t xml:space="preserve">Clínica Ocular Caracas</w:t>
      </w:r>
    </w:p>
    <w:p>
      <w:pPr>
        <w:pStyle w:val="FirstParagraph"/>
      </w:pPr>
      <w:r>
        <w:rPr>
          <w:bCs/>
          <w:b/>
        </w:rPr>
        <w:t xml:space="preserve">Specialized Ophthalmology Center</w:t>
      </w:r>
    </w:p>
    <w:p>
      <w:pPr>
        <w:pStyle w:val="BodyText"/>
      </w:pPr>
      <w:r>
        <w:t xml:space="preserve">Av. Francisco de Miranda, Edificio Torre Médica, Piso 8</w:t>
      </w:r>
    </w:p>
    <w:p>
      <w:pPr>
        <w:pStyle w:val="BodyText"/>
      </w:pPr>
      <w:r>
        <w:t xml:space="preserve">Chacao, Caracas, Venezuela</w:t>
      </w:r>
    </w:p>
    <w:p>
      <w:pPr>
        <w:pStyle w:val="BodyText"/>
      </w:pPr>
      <w:r>
        <w:t xml:space="preserve">Tel: +58 (212) 555-0199 | Email: billing@clinicocularcaracas.com</w:t>
      </w:r>
    </w:p>
    <w:p>
      <w:pPr>
        <w:pStyle w:val="BodyText"/>
      </w:pPr>
      <w:r>
        <w:t xml:space="preserve">RIF: J-12345678-9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Status:</w:t>
      </w:r>
      <w:r>
        <w:t xml:space="preserve"> </w:t>
      </w:r>
      <w:r>
        <w:t xml:space="preserve">Pending</w:t>
      </w:r>
    </w:p>
    <w:bookmarkEnd w:id="21"/>
    <w:bookmarkStart w:id="22" w:name="bill-to"/>
    <w:p>
      <w:pPr>
        <w:pStyle w:val="Heading3"/>
      </w:pPr>
      <w:r>
        <w:t xml:space="preserve">Bill To:</w:t>
      </w:r>
    </w:p>
    <w:p>
      <w:pPr>
        <w:pStyle w:val="FirstParagraph"/>
      </w:pPr>
      <w:r>
        <w:rPr>
          <w:bCs/>
          <w:b/>
        </w:rPr>
        <w:t xml:space="preserve">Patient Name:</w:t>
      </w:r>
      <w:r>
        <w:t xml:space="preserve"> </w:t>
      </w:r>
      <w:r>
        <w:t xml:space="preserve">Juan Carlos Pérez Rodríguez</w:t>
      </w:r>
    </w:p>
    <w:p>
      <w:pPr>
        <w:pStyle w:val="BodyText"/>
      </w:pPr>
      <w:r>
        <w:rPr>
          <w:bCs/>
          <w:b/>
        </w:rPr>
        <w:t xml:space="preserve">Cédula de Identidad:</w:t>
      </w:r>
      <w:r>
        <w:t xml:space="preserve"> </w:t>
      </w:r>
      <w:r>
        <w:t xml:space="preserve">V-15.432.109</w:t>
      </w:r>
    </w:p>
    <w:p>
      <w:pPr>
        <w:pStyle w:val="BodyText"/>
      </w:pPr>
      <w:r>
        <w:rPr>
          <w:bCs/>
          <w:b/>
        </w:rPr>
        <w:t xml:space="preserve">Address:</w:t>
      </w:r>
      <w:r>
        <w:t xml:space="preserve"> </w:t>
      </w:r>
      <w:r>
        <w:t xml:space="preserve">Urbanización El Rosal, Caracas, Venezuela</w:t>
      </w:r>
    </w:p>
    <w:p>
      <w:pPr>
        <w:pStyle w:val="BodyText"/>
      </w:pPr>
      <w:r>
        <w:rPr>
          <w:bCs/>
          <w:b/>
        </w:rPr>
        <w:t xml:space="preserve">Phone:</w:t>
      </w:r>
      <w:r>
        <w:t xml:space="preserve"> </w:t>
      </w:r>
      <w:r>
        <w:t xml:space="preserve">+58 (412) 123-4567</w:t>
      </w:r>
    </w:p>
    <w:p>
      <w:pPr>
        <w:pStyle w:val="BodyText"/>
      </w:pPr>
      <w:r>
        <w:rPr>
          <w:bCs/>
          <w:b/>
        </w:rPr>
        <w:t xml:space="preserve">Insurance Provider:</w:t>
      </w:r>
      <w:r>
        <w:t xml:space="preserve"> </w:t>
      </w:r>
      <w:r>
        <w:t xml:space="preserve">Seguro Médico Nacional</w:t>
      </w:r>
    </w:p>
    <w:p>
      <w:pPr>
        <w:pStyle w:val="BodyText"/>
      </w:pPr>
      <w:r>
        <w:rPr>
          <w:bCs/>
          <w:b/>
        </w:rPr>
        <w:t xml:space="preserve">Policy Number:</w:t>
      </w:r>
      <w:r>
        <w:t xml:space="preserve"> </w:t>
      </w:r>
      <w:r>
        <w:t xml:space="preserve">SMN-99887766</w:t>
      </w:r>
    </w:p>
    <w:p>
      <w:pPr>
        <w:pStyle w:val="BodyText"/>
      </w:pPr>
      <w:r>
        <w:rPr>
          <w:bCs/>
          <w:b/>
        </w:rPr>
        <w:t xml:space="preserve">Group Number:</w:t>
      </w:r>
      <w:r>
        <w:t xml:space="preserve"> </w:t>
      </w:r>
      <w:r>
        <w:t xml:space="preserve">GRP-4455</w:t>
      </w:r>
    </w:p>
    <w:p>
      <w:pPr>
        <w:pStyle w:val="BodyText"/>
      </w:pPr>
      <w:r>
        <w:rPr>
          <w:bCs/>
          <w:b/>
        </w:rPr>
        <w:t xml:space="preserve">Referring Physician:</w:t>
      </w:r>
      <w:r>
        <w:t xml:space="preserve"> </w:t>
      </w:r>
      <w:r>
        <w:t xml:space="preserve">Dr. Roberto Méndez</w:t>
      </w:r>
    </w:p>
    <w:bookmarkEnd w:id="22"/>
    <w:bookmarkStart w:id="23" w:name="services-rendered"/>
    <w:p>
      <w:pPr>
        <w:pStyle w:val="Heading3"/>
      </w:pPr>
      <w:r>
        <w:t xml:space="preserve">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Ophthalmological Service</w:t>
            </w:r>
          </w:p>
        </w:tc>
        <w:tc>
          <w:tcPr/>
          <w:p>
            <w:pPr>
              <w:pStyle w:val="Compact"/>
              <w:jc w:val="left"/>
            </w:pPr>
            <w:r>
              <w:t xml:space="preserve">Code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Comprehensive Dilated Eye Examination by Senior Ophthalmologist</w:t>
            </w:r>
          </w:p>
        </w:tc>
        <w:tc>
          <w:tcPr/>
          <w:p>
            <w:pPr>
              <w:pStyle w:val="Compact"/>
              <w:jc w:val="left"/>
            </w:pPr>
            <w:r>
              <w:t xml:space="preserve">OPH-001</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2</w:t>
            </w:r>
          </w:p>
        </w:tc>
        <w:tc>
          <w:tcPr/>
          <w:p>
            <w:pPr>
              <w:pStyle w:val="Compact"/>
              <w:jc w:val="left"/>
            </w:pPr>
            <w:r>
              <w:t xml:space="preserve">Optical Coherence Tomography (OCT) - Retinal Scan</w:t>
            </w:r>
          </w:p>
        </w:tc>
        <w:tc>
          <w:tcPr/>
          <w:p>
            <w:pPr>
              <w:pStyle w:val="Compact"/>
              <w:jc w:val="left"/>
            </w:pPr>
            <w:r>
              <w:t xml:space="preserve">OPH-015</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3</w:t>
            </w:r>
          </w:p>
        </w:tc>
        <w:tc>
          <w:tcPr/>
          <w:p>
            <w:pPr>
              <w:pStyle w:val="Compact"/>
              <w:jc w:val="left"/>
            </w:pPr>
            <w:r>
              <w:t xml:space="preserve">Visual Field Test (Perimetry) - Glaucoma Screening</w:t>
            </w:r>
          </w:p>
        </w:tc>
        <w:tc>
          <w:tcPr/>
          <w:p>
            <w:pPr>
              <w:pStyle w:val="Compact"/>
              <w:jc w:val="left"/>
            </w:pPr>
            <w:r>
              <w:t xml:space="preserve">OPH-022</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4</w:t>
            </w:r>
          </w:p>
        </w:tc>
        <w:tc>
          <w:tcPr/>
          <w:p>
            <w:pPr>
              <w:pStyle w:val="Compact"/>
              <w:jc w:val="left"/>
            </w:pPr>
            <w:r>
              <w:t xml:space="preserve">Corneal Topography Mapping</w:t>
            </w:r>
          </w:p>
        </w:tc>
        <w:tc>
          <w:tcPr/>
          <w:p>
            <w:pPr>
              <w:pStyle w:val="Compact"/>
              <w:jc w:val="left"/>
            </w:pPr>
            <w:r>
              <w:t xml:space="preserve">OPH-030</w:t>
            </w:r>
          </w:p>
        </w:tc>
        <w:tc>
          <w:tcPr/>
          <w:p>
            <w:pPr>
              <w:pStyle w:val="Compact"/>
              <w:jc w:val="left"/>
            </w:pPr>
            <w:r>
              <w:t xml:space="preserve">1</w:t>
            </w:r>
          </w:p>
        </w:tc>
        <w:tc>
          <w:tcPr/>
          <w:p>
            <w:pPr>
              <w:pStyle w:val="Compact"/>
              <w:jc w:val="left"/>
            </w:pPr>
            <w:r>
              <w:t xml:space="preserve">90.00</w:t>
            </w:r>
          </w:p>
        </w:tc>
        <w:tc>
          <w:tcPr/>
          <w:p>
            <w:pPr>
              <w:pStyle w:val="Compact"/>
              <w:jc w:val="left"/>
            </w:pPr>
            <w:r>
              <w:t xml:space="preserve">90.00</w:t>
            </w:r>
          </w:p>
        </w:tc>
      </w:tr>
      <w:tr>
        <w:tc>
          <w:tcPr/>
          <w:p>
            <w:pPr>
              <w:pStyle w:val="Compact"/>
              <w:jc w:val="left"/>
            </w:pPr>
            <w:r>
              <w:t xml:space="preserve">5</w:t>
            </w:r>
          </w:p>
        </w:tc>
        <w:tc>
          <w:tcPr/>
          <w:p>
            <w:pPr>
              <w:pStyle w:val="Compact"/>
              <w:jc w:val="left"/>
            </w:pPr>
            <w:r>
              <w:t xml:space="preserve">Prescription for Corrective Lenses (Bifocal)</w:t>
            </w:r>
          </w:p>
        </w:tc>
        <w:tc>
          <w:tcPr/>
          <w:p>
            <w:pPr>
              <w:pStyle w:val="Compact"/>
              <w:jc w:val="left"/>
            </w:pPr>
            <w:r>
              <w:t xml:space="preserve">OPH-045</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6</w:t>
            </w:r>
          </w:p>
        </w:tc>
        <w:tc>
          <w:tcPr/>
          <w:p>
            <w:pPr>
              <w:pStyle w:val="Compact"/>
              <w:jc w:val="left"/>
            </w:pPr>
            <w:r>
              <w:t xml:space="preserve">Consultation for Cataract Evaluation and Surgical Planning</w:t>
            </w:r>
          </w:p>
        </w:tc>
        <w:tc>
          <w:tcPr/>
          <w:p>
            <w:pPr>
              <w:pStyle w:val="Compact"/>
              <w:jc w:val="left"/>
            </w:pPr>
            <w:r>
              <w:t xml:space="preserve">OPH-050</w:t>
            </w:r>
          </w:p>
        </w:tc>
        <w:tc>
          <w:tcPr/>
          <w:p>
            <w:pPr>
              <w:pStyle w:val="Compact"/>
              <w:jc w:val="left"/>
            </w:pPr>
            <w:r>
              <w:t xml:space="preserve">1</w:t>
            </w:r>
          </w:p>
        </w:tc>
        <w:tc>
          <w:tcPr/>
          <w:p>
            <w:pPr>
              <w:pStyle w:val="Compact"/>
              <w:jc w:val="left"/>
            </w:pPr>
            <w:r>
              <w:t xml:space="preserve">110.00</w:t>
            </w:r>
          </w:p>
        </w:tc>
        <w:tc>
          <w:tcPr/>
          <w:p>
            <w:pPr>
              <w:pStyle w:val="Compact"/>
              <w:jc w:val="left"/>
            </w:pPr>
            <w:r>
              <w:t xml:space="preserve">110.00</w:t>
            </w:r>
          </w:p>
        </w:tc>
      </w:tr>
      <w:tr>
        <w:tc>
          <w:tcPr/>
          <w:p>
            <w:pPr>
              <w:pStyle w:val="Compact"/>
              <w:jc w:val="left"/>
            </w:pPr>
            <w:r>
              <w:t xml:space="preserve">7</w:t>
            </w:r>
          </w:p>
        </w:tc>
        <w:tc>
          <w:tcPr/>
          <w:p>
            <w:pPr>
              <w:pStyle w:val="Compact"/>
              <w:jc w:val="left"/>
            </w:pPr>
            <w:r>
              <w:t xml:space="preserve">Anterior Segment Photography</w:t>
            </w:r>
          </w:p>
        </w:tc>
        <w:tc>
          <w:tcPr/>
          <w:p>
            <w:pPr>
              <w:pStyle w:val="Compact"/>
              <w:jc w:val="left"/>
            </w:pPr>
            <w:r>
              <w:t xml:space="preserve">OPH-060</w:t>
            </w:r>
          </w:p>
        </w:tc>
        <w:tc>
          <w:tcPr/>
          <w:p>
            <w:pPr>
              <w:pStyle w:val="Compact"/>
              <w:jc w:val="left"/>
            </w:pPr>
            <w:r>
              <w:t xml:space="preserve">1</w:t>
            </w:r>
          </w:p>
        </w:tc>
        <w:tc>
          <w:tcPr/>
          <w:p>
            <w:pPr>
              <w:pStyle w:val="Compact"/>
              <w:jc w:val="left"/>
            </w:pPr>
            <w:r>
              <w:t xml:space="preserve">40.00</w:t>
            </w:r>
          </w:p>
        </w:tc>
        <w:tc>
          <w:tcPr/>
          <w:p>
            <w:pPr>
              <w:pStyle w:val="Compact"/>
              <w:jc w:val="left"/>
            </w:pPr>
            <w:r>
              <w:t xml:space="preserve">40.00</w:t>
            </w:r>
          </w:p>
        </w:tc>
      </w:tr>
      <w:tr>
        <w:tc>
          <w:tcPr/>
          <w:p>
            <w:pPr>
              <w:pStyle w:val="Compact"/>
              <w:jc w:val="left"/>
            </w:pPr>
            <w:r>
              <w:t xml:space="preserve">8</w:t>
            </w:r>
          </w:p>
        </w:tc>
        <w:tc>
          <w:tcPr/>
          <w:p>
            <w:pPr>
              <w:pStyle w:val="Compact"/>
              <w:jc w:val="left"/>
            </w:pPr>
            <w:r>
              <w:t xml:space="preserve">Follow-up Visit Post-Examination</w:t>
            </w:r>
          </w:p>
        </w:tc>
        <w:tc>
          <w:tcPr/>
          <w:p>
            <w:pPr>
              <w:pStyle w:val="Compact"/>
              <w:jc w:val="left"/>
            </w:pPr>
            <w:r>
              <w:t xml:space="preserve">OPH-005</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bl>
    <w:bookmarkEnd w:id="23"/>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$585.00</w:t>
            </w:r>
          </w:p>
        </w:tc>
      </w:tr>
      <w:tr>
        <w:tc>
          <w:tcPr/>
          <w:p>
            <w:pPr>
              <w:pStyle w:val="Compact"/>
              <w:jc w:val="left"/>
            </w:pPr>
            <w:r>
              <w:t xml:space="preserve">Discount (Insurance Coverage):</w:t>
            </w:r>
          </w:p>
        </w:tc>
        <w:tc>
          <w:tcPr/>
          <w:p>
            <w:pPr>
              <w:pStyle w:val="Compact"/>
              <w:jc w:val="left"/>
            </w:pPr>
            <w:r>
              <w:t xml:space="preserve">-$200.00</w:t>
            </w:r>
          </w:p>
        </w:tc>
      </w:tr>
      <w:tr>
        <w:tc>
          <w:tcPr/>
          <w:p>
            <w:pPr>
              <w:pStyle w:val="Compact"/>
              <w:jc w:val="left"/>
            </w:pPr>
            <w:r>
              <w:t xml:space="preserve">Adjustable Tax (IVA 16%):</w:t>
            </w:r>
          </w:p>
        </w:tc>
        <w:tc>
          <w:tcPr/>
          <w:p>
            <w:pPr>
              <w:pStyle w:val="Compact"/>
              <w:jc w:val="left"/>
            </w:pPr>
            <w:r>
              <w:t xml:space="preserve">$63.20</w:t>
            </w:r>
          </w:p>
        </w:tc>
      </w:tr>
      <w:tr>
        <w:tc>
          <w:tcPr/>
          <w:p>
            <w:pPr>
              <w:pStyle w:val="Compact"/>
              <w:jc w:val="left"/>
            </w:pPr>
            <w:r>
              <w:t xml:space="preserve">Total Amount Due:</w:t>
            </w:r>
          </w:p>
        </w:tc>
        <w:tc>
          <w:tcPr/>
          <w:p>
            <w:pPr>
              <w:pStyle w:val="Compact"/>
              <w:jc w:val="left"/>
            </w:pPr>
            <w:r>
              <w:t xml:space="preserve">$448.20</w:t>
            </w:r>
          </w:p>
        </w:tc>
      </w:tr>
    </w:tbl>
    <w:bookmarkStart w:id="24" w:name="payment-terms-and-conditions"/>
    <w:p>
      <w:pPr>
        <w:pStyle w:val="Heading4"/>
      </w:pPr>
      <w:r>
        <w:t xml:space="preserve">Payment Terms and Conditions</w:t>
      </w:r>
    </w:p>
    <w:p>
      <w:pPr>
        <w:pStyle w:val="FirstParagraph"/>
      </w:pPr>
      <w:r>
        <w:t xml:space="preserve">This invoice is issued in accordance with the regulations of the Venezuelan Ministry of Health and the local tax authority (SENIAT). All amounts are quoted in United States Dollars (USD) as per current market exchange rates applicable in Caracas, Venezuela.</w:t>
      </w:r>
    </w:p>
    <w:p>
      <w:pPr>
        <w:pStyle w:val="BodyText"/>
      </w:pPr>
      <w:r>
        <w:rPr>
          <w:bCs/>
          <w:b/>
        </w:rPr>
        <w:t xml:space="preserve">Payment Methods Accepted:</w:t>
      </w:r>
    </w:p>
    <w:p>
      <w:pPr>
        <w:numPr>
          <w:ilvl w:val="0"/>
          <w:numId w:val="1001"/>
        </w:numPr>
        <w:pStyle w:val="Compact"/>
      </w:pPr>
      <w:r>
        <w:rPr>
          <w:bCs/>
          <w:b/>
        </w:rPr>
        <w:t xml:space="preserve">Bank Transfer:</w:t>
      </w:r>
      <w:r>
        <w:t xml:space="preserve"> </w:t>
      </w:r>
      <w:r>
        <w:t xml:space="preserve">Banco Mercantil, Caracas Branch. Account No: 0104-1234-5678-9012-3456. IBAN: VE0101041234567890123456.</w:t>
      </w:r>
    </w:p>
    <w:p>
      <w:pPr>
        <w:numPr>
          <w:ilvl w:val="0"/>
          <w:numId w:val="1001"/>
        </w:numPr>
        <w:pStyle w:val="Compact"/>
      </w:pPr>
      <w:r>
        <w:rPr>
          <w:bCs/>
          <w:b/>
        </w:rPr>
        <w:t xml:space="preserve">Cash:</w:t>
      </w:r>
      <w:r>
        <w:t xml:space="preserve"> </w:t>
      </w:r>
      <w:r>
        <w:t xml:space="preserve">USD bills accepted at our reception desk in Chacao, Caracas.</w:t>
      </w:r>
    </w:p>
    <w:p>
      <w:pPr>
        <w:numPr>
          <w:ilvl w:val="0"/>
          <w:numId w:val="1001"/>
        </w:numPr>
        <w:pStyle w:val="Compact"/>
      </w:pPr>
      <w:r>
        <w:rPr>
          <w:bCs/>
          <w:b/>
        </w:rPr>
        <w:t xml:space="preserve">Digital Wallets:</w:t>
      </w:r>
      <w:r>
        <w:t xml:space="preserve"> </w:t>
      </w:r>
      <w:r>
        <w:t xml:space="preserve">Zelle, PayPal, or local Venezuelan fintech platforms (Pago Móvil equivalent in USD).</w:t>
      </w:r>
    </w:p>
    <w:p>
      <w:pPr>
        <w:pStyle w:val="FirstParagraph"/>
      </w:pPr>
      <w:r>
        <w:rPr>
          <w:bCs/>
          <w:b/>
        </w:rPr>
        <w:t xml:space="preserve">Important Notes:</w:t>
      </w:r>
    </w:p>
    <w:p>
      <w:pPr>
        <w:numPr>
          <w:ilvl w:val="0"/>
          <w:numId w:val="1002"/>
        </w:numPr>
        <w:pStyle w:val="Compact"/>
      </w:pPr>
      <w:r>
        <w:t xml:space="preserve">Payment is due within 14 days from the date of this invoice.</w:t>
      </w:r>
    </w:p>
    <w:p>
      <w:pPr>
        <w:numPr>
          <w:ilvl w:val="0"/>
          <w:numId w:val="1002"/>
        </w:numPr>
        <w:pStyle w:val="Compact"/>
      </w:pPr>
      <w:r>
        <w:t xml:space="preserve">Late payments may incur a penalty fee of 2% per month.</w:t>
      </w:r>
    </w:p>
    <w:p>
      <w:pPr>
        <w:numPr>
          <w:ilvl w:val="0"/>
          <w:numId w:val="1002"/>
        </w:numPr>
        <w:pStyle w:val="Compact"/>
      </w:pPr>
      <w:r>
        <w:t xml:space="preserve">Please include the Invoice Number (INV-2023-0892) as the reference for all payments.</w:t>
      </w:r>
    </w:p>
    <w:p>
      <w:pPr>
        <w:numPr>
          <w:ilvl w:val="0"/>
          <w:numId w:val="1002"/>
        </w:numPr>
        <w:pStyle w:val="Compact"/>
      </w:pPr>
      <w:r>
        <w:t xml:space="preserve">This document serves as an official receipt for medical expenses and can be used for insurance reimbursement claims.</w:t>
      </w:r>
    </w:p>
    <w:p>
      <w:pPr>
        <w:numPr>
          <w:ilvl w:val="0"/>
          <w:numId w:val="1002"/>
        </w:numPr>
        <w:pStyle w:val="Compact"/>
      </w:pPr>
      <w:r>
        <w:t xml:space="preserve">For any discrepancies or questions regarding this invoice, please contact our billing department at billing@clinicocularcaracas.com or call +58 (212) 555-0199.</w:t>
      </w:r>
    </w:p>
    <w:bookmarkEnd w:id="24"/>
    <w:p>
      <w:pPr>
        <w:pStyle w:val="FirstParagraph"/>
      </w:pPr>
      <w:r>
        <w:rPr>
          <w:bCs/>
          <w:b/>
        </w:rPr>
        <w:t xml:space="preserve">Authorized by:</w:t>
      </w:r>
    </w:p>
    <w:p>
      <w:pPr>
        <w:pStyle w:val="BodyText"/>
      </w:pPr>
      <w:r>
        <w:t xml:space="preserve">Dr. María Elena González</w:t>
      </w:r>
    </w:p>
    <w:p>
      <w:pPr>
        <w:pStyle w:val="BodyText"/>
      </w:pPr>
      <w:r>
        <w:t xml:space="preserve">Chief Ophthalmologist</w:t>
      </w:r>
    </w:p>
    <w:p>
      <w:pPr>
        <w:pStyle w:val="BodyText"/>
      </w:pPr>
      <w:r>
        <w:t xml:space="preserve">Clínica Ocular Caracas</w:t>
      </w:r>
    </w:p>
    <w:p>
      <w:pPr>
        <w:pStyle w:val="BodyText"/>
      </w:pPr>
      <w:r>
        <w:rPr>
          <w:bCs/>
          <w:b/>
        </w:rPr>
        <w:t xml:space="preserve">Received by:</w:t>
      </w:r>
    </w:p>
    <w:p>
      <w:pPr>
        <w:pStyle w:val="BodyText"/>
      </w:pPr>
      <w:r>
        <w:t xml:space="preserve">_________________________</w:t>
      </w:r>
    </w:p>
    <w:p>
      <w:pPr>
        <w:pStyle w:val="BodyText"/>
      </w:pPr>
      <w:r>
        <w:t xml:space="preserve">Patient Signature</w:t>
      </w:r>
    </w:p>
    <w:p>
      <w:pPr>
        <w:pStyle w:val="BodyText"/>
      </w:pPr>
      <w:r>
        <w:t xml:space="preserve">Date: _______________</w:t>
      </w:r>
    </w:p>
    <w:p>
      <w:pPr>
        <w:pStyle w:val="BodyText"/>
      </w:pPr>
      <w:r>
        <w:t xml:space="preserve">Clínica Ocular Caracas | Av. Francisco de Miranda, Edificio Torre Médica, Piso 8, Chacao, Caracas, Venezuela</w:t>
      </w:r>
    </w:p>
    <w:p>
      <w:pPr>
        <w:pStyle w:val="BodyText"/>
      </w:pPr>
      <w:r>
        <w:t xml:space="preserve">RIF: J-12345678-9 | Tel: +58 (212) 555-0199 | Email: info@clinicocularcaracas.com</w:t>
      </w:r>
    </w:p>
    <w:p>
      <w:pPr>
        <w:pStyle w:val="BodyText"/>
      </w:pPr>
      <w:r>
        <w:t xml:space="preserve">Prices are subject to change based on the official exchange rate published by the Central Bank of Venezuela.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Ophthalmology Invoice - Caracas, Venezuela</dc:title>
  <dc:creator/>
  <dc:language>en</dc:language>
  <cp:keywords/>
  <dcterms:created xsi:type="dcterms:W3CDTF">2026-10-10T07:03:00Z</dcterms:created>
  <dcterms:modified xsi:type="dcterms:W3CDTF">2026-10-10T07:03:00Z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