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Optometry</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optique-méditerranée"/>
    <w:p>
      <w:pPr>
        <w:pStyle w:val="Heading1"/>
      </w:pPr>
      <w:r>
        <w:t xml:space="preserve">Optique Méditerranée</w:t>
      </w:r>
    </w:p>
    <w:p>
      <w:pPr>
        <w:pStyle w:val="FirstParagraph"/>
      </w:pPr>
      <w:r>
        <w:rPr>
          <w:bCs/>
          <w:b/>
        </w:rPr>
        <w:t xml:space="preserve">Professional Optometrist Services</w:t>
      </w:r>
    </w:p>
    <w:p>
      <w:pPr>
        <w:pStyle w:val="BodyText"/>
      </w:pPr>
      <w:r>
        <w:t xml:space="preserve">123 La Canebière, 13001 Marseille, France</w:t>
      </w:r>
    </w:p>
    <w:p>
      <w:pPr>
        <w:pStyle w:val="BodyText"/>
      </w:pPr>
      <w:r>
        <w:t xml:space="preserve">Tel: +33 4 91 00 00 00 | Email: contact@optique-marseille.fr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Marseille, France</w:t>
      </w:r>
    </w:p>
    <w:bookmarkEnd w:id="21"/>
    <w:bookmarkStart w:id="22" w:name="bill-to"/>
    <w:p>
      <w:pPr>
        <w:pStyle w:val="Heading3"/>
      </w:pPr>
      <w:r>
        <w:t xml:space="preserve">Bill To</w:t>
      </w:r>
    </w:p>
    <w:p>
      <w:pPr>
        <w:pStyle w:val="FirstParagraph"/>
      </w:pPr>
      <w:r>
        <w:rPr>
          <w:bCs/>
          <w:b/>
        </w:rPr>
        <w:t xml:space="preserve">Monsieur Jean Dupont</w:t>
      </w:r>
    </w:p>
    <w:p>
      <w:pPr>
        <w:pStyle w:val="BodyText"/>
      </w:pPr>
      <w:r>
        <w:t xml:space="preserve">45 Rue Paradis</w:t>
      </w:r>
    </w:p>
    <w:p>
      <w:pPr>
        <w:pStyle w:val="BodyText"/>
      </w:pPr>
      <w:r>
        <w:t xml:space="preserve">13006 Marseille, France</w:t>
      </w:r>
    </w:p>
    <w:p>
      <w:pPr>
        <w:pStyle w:val="BodyText"/>
      </w:pPr>
      <w:r>
        <w:t xml:space="preserve">SS Number: 1 75 04 75012 345 67</w:t>
      </w:r>
    </w:p>
    <w:bookmarkEnd w:id="22"/>
    <w:bookmarkStart w:id="23" w:name="payment-method"/>
    <w:p>
      <w:pPr>
        <w:pStyle w:val="Heading3"/>
      </w:pPr>
      <w:r>
        <w:t xml:space="preserve">Payment Method</w:t>
      </w:r>
    </w:p>
    <w:p>
      <w:pPr>
        <w:pStyle w:val="FirstParagraph"/>
      </w:pPr>
      <w:r>
        <w:rPr>
          <w:bCs/>
          <w:b/>
        </w:rPr>
        <w:t xml:space="preserve">Bank Transfer (Virement Bancaire)</w:t>
      </w:r>
    </w:p>
    <w:p>
      <w:pPr>
        <w:pStyle w:val="BodyText"/>
      </w:pPr>
      <w:r>
        <w:t xml:space="preserve">Bank: Crédit Agricole Provence Côte d'Azur</w:t>
      </w:r>
    </w:p>
    <w:p>
      <w:pPr>
        <w:pStyle w:val="BodyText"/>
      </w:pPr>
      <w:r>
        <w:t xml:space="preserve">IBAN: FR76 3000 1000 0100 0100 1234 567</w:t>
      </w:r>
    </w:p>
    <w:p>
      <w:pPr>
        <w:pStyle w:val="BodyText"/>
      </w:pPr>
      <w:r>
        <w:t xml:space="preserve">BIC: AGRIFRPP</w:t>
      </w:r>
    </w:p>
    <w:p>
      <w:pPr>
        <w:pStyle w:val="BodyText"/>
      </w:pPr>
      <w:r>
        <w:rPr>
          <w:iCs/>
          <w:i/>
        </w:rPr>
        <w:t xml:space="preserve">Please reference Invoice Number INV-2023-10-045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 &amp; Products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TVA (20%)</w:t>
            </w:r>
          </w:p>
        </w:tc>
      </w:tr>
      <w:tr>
        <w:tc>
          <w:tcPr/>
          <w:p>
            <w:pPr>
              <w:pStyle w:val="Compact"/>
              <w:jc w:val="left"/>
            </w:pPr>
            <w:r>
              <w:t xml:space="preserve">1</w:t>
            </w:r>
          </w:p>
        </w:tc>
        <w:tc>
          <w:tcPr/>
          <w:p>
            <w:pPr>
              <w:pStyle w:val="Compact"/>
              <w:jc w:val="left"/>
            </w:pPr>
            <w:r>
              <w:rPr>
                <w:bCs/>
                <w:b/>
              </w:rPr>
              <w:t xml:space="preserve">Comprehensive Visual Acuity Examination</w:t>
            </w:r>
            <w:r>
              <w:br/>
            </w:r>
            <w:r>
              <w:t xml:space="preserve">Standard refraction test performed by a certified Optometrist in Marseille to determine precise prescription requirements.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13.00</w:t>
            </w:r>
          </w:p>
        </w:tc>
      </w:tr>
      <w:tr>
        <w:tc>
          <w:tcPr/>
          <w:p>
            <w:pPr>
              <w:pStyle w:val="Compact"/>
              <w:jc w:val="left"/>
            </w:pPr>
            <w:r>
              <w:t xml:space="preserve">2</w:t>
            </w:r>
          </w:p>
        </w:tc>
        <w:tc>
          <w:tcPr/>
          <w:p>
            <w:pPr>
              <w:pStyle w:val="Compact"/>
              <w:jc w:val="left"/>
            </w:pPr>
            <w:r>
              <w:rPr>
                <w:bCs/>
                <w:b/>
              </w:rPr>
              <w:t xml:space="preserve">Binocular Vision Assessment</w:t>
            </w:r>
            <w:r>
              <w:br/>
            </w:r>
            <w:r>
              <w:t xml:space="preserve">Evaluation of eye coordination and depth perception capabilities.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9.00</w:t>
            </w:r>
          </w:p>
        </w:tc>
      </w:tr>
      <w:tr>
        <w:tc>
          <w:tcPr/>
          <w:p>
            <w:pPr>
              <w:pStyle w:val="Compact"/>
              <w:jc w:val="left"/>
            </w:pPr>
            <w:r>
              <w:t xml:space="preserve">3</w:t>
            </w:r>
          </w:p>
        </w:tc>
        <w:tc>
          <w:tcPr/>
          <w:p>
            <w:pPr>
              <w:pStyle w:val="Compact"/>
              <w:jc w:val="left"/>
            </w:pPr>
            <w:r>
              <w:rPr>
                <w:bCs/>
                <w:b/>
              </w:rPr>
              <w:t xml:space="preserve">Premium Anti-Reflective Lenses (Bifocal)</w:t>
            </w:r>
            <w:r>
              <w:br/>
            </w:r>
            <w:r>
              <w:t xml:space="preserve">High-index polycarbonate lenses with blue light filtering technology, customized for the patient's prescription.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56.00</w:t>
            </w:r>
          </w:p>
        </w:tc>
      </w:tr>
      <w:tr>
        <w:tc>
          <w:tcPr/>
          <w:p>
            <w:pPr>
              <w:pStyle w:val="Compact"/>
              <w:jc w:val="left"/>
            </w:pPr>
            <w:r>
              <w:t xml:space="preserve">4</w:t>
            </w:r>
          </w:p>
        </w:tc>
        <w:tc>
          <w:tcPr/>
          <w:p>
            <w:pPr>
              <w:pStyle w:val="Compact"/>
              <w:jc w:val="left"/>
            </w:pPr>
            <w:r>
              <w:rPr>
                <w:bCs/>
                <w:b/>
              </w:rPr>
              <w:t xml:space="preserve">Designer Titanium Frame</w:t>
            </w:r>
            <w:r>
              <w:br/>
            </w:r>
            <w:r>
              <w:t xml:space="preserve">Lightweight, hypoallergenic titanium frame selected during consultation.</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39.00</w:t>
            </w:r>
          </w:p>
        </w:tc>
      </w:tr>
      <w:tr>
        <w:tc>
          <w:tcPr/>
          <w:p>
            <w:pPr>
              <w:pStyle w:val="Compact"/>
              <w:jc w:val="left"/>
            </w:pPr>
            <w:r>
              <w:t xml:space="preserve">5</w:t>
            </w:r>
          </w:p>
        </w:tc>
        <w:tc>
          <w:tcPr/>
          <w:p>
            <w:pPr>
              <w:pStyle w:val="Compact"/>
              <w:jc w:val="left"/>
            </w:pPr>
            <w:r>
              <w:rPr>
                <w:bCs/>
                <w:b/>
              </w:rPr>
              <w:t xml:space="preserve">Professional Lens Fitting &amp; Adjustment</w:t>
            </w:r>
            <w:r>
              <w:br/>
            </w:r>
            <w:r>
              <w:t xml:space="preserve">Precision edging and insertion of lenses into frames, followed by ergonomic adjustment.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7.00</w:t>
            </w:r>
          </w:p>
        </w:tc>
      </w:tr>
      <w:tr>
        <w:tc>
          <w:tcPr/>
          <w:p>
            <w:pPr>
              <w:pStyle w:val="Compact"/>
              <w:jc w:val="left"/>
            </w:pPr>
            <w:r>
              <w:t xml:space="preserve">6</w:t>
            </w:r>
          </w:p>
        </w:tc>
        <w:tc>
          <w:tcPr/>
          <w:p>
            <w:pPr>
              <w:pStyle w:val="Compact"/>
              <w:jc w:val="left"/>
            </w:pPr>
            <w:r>
              <w:rPr>
                <w:bCs/>
                <w:b/>
              </w:rPr>
              <w:t xml:space="preserve">Protective Hard Case &amp; Cleaning Kit</w:t>
            </w:r>
            <w:r>
              <w:br/>
            </w:r>
            <w:r>
              <w:t xml:space="preserve">Includes microfiber cloth and specialized cleaning solution.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(HT)</w:t>
            </w:r>
          </w:p>
        </w:tc>
        <w:tc>
          <w:tcPr/>
          <w:p>
            <w:pPr>
              <w:pStyle w:val="Compact"/>
              <w:jc w:val="left"/>
            </w:pPr>
            <w:r>
              <w:t xml:space="preserve">645.00 €</w:t>
            </w:r>
          </w:p>
        </w:tc>
      </w:tr>
      <w:tr>
        <w:tc>
          <w:tcPr/>
          <w:p>
            <w:pPr>
              <w:pStyle w:val="Compact"/>
              <w:jc w:val="left"/>
            </w:pPr>
            <w:r>
              <w:rPr>
                <w:bCs/>
                <w:b/>
              </w:rPr>
              <w:t xml:space="preserve">TVA (20%)</w:t>
            </w:r>
          </w:p>
        </w:tc>
        <w:tc>
          <w:tcPr/>
          <w:p>
            <w:pPr>
              <w:pStyle w:val="Compact"/>
              <w:jc w:val="left"/>
            </w:pPr>
            <w:r>
              <w:t xml:space="preserve">129.00 €</w:t>
            </w:r>
          </w:p>
        </w:tc>
      </w:tr>
      <w:tr>
        <w:tc>
          <w:tcPr/>
          <w:p>
            <w:pPr>
              <w:pStyle w:val="Compact"/>
              <w:jc w:val="left"/>
            </w:pPr>
            <w:r>
              <w:rPr>
                <w:bCs/>
                <w:b/>
              </w:rPr>
              <w:t xml:space="preserve">Remise Mutuelle (Insurance Discount)</w:t>
            </w:r>
          </w:p>
        </w:tc>
        <w:tc>
          <w:tcPr/>
          <w:p>
            <w:pPr>
              <w:pStyle w:val="Compact"/>
              <w:jc w:val="left"/>
            </w:pPr>
            <w:r>
              <w:t xml:space="preserve">-150.00 €</w:t>
            </w:r>
          </w:p>
        </w:tc>
      </w:tr>
      <w:tr>
        <w:tc>
          <w:tcPr/>
          <w:p>
            <w:pPr>
              <w:pStyle w:val="Compact"/>
              <w:jc w:val="left"/>
            </w:pPr>
            <w:r>
              <w:rPr>
                <w:bCs/>
                <w:b/>
              </w:rPr>
              <w:t xml:space="preserve">Total Due (TTC)</w:t>
            </w:r>
          </w:p>
        </w:tc>
        <w:tc>
          <w:tcPr/>
          <w:p>
            <w:pPr>
              <w:pStyle w:val="Compact"/>
              <w:jc w:val="left"/>
            </w:pPr>
            <w:r>
              <w:t xml:space="preserve">624.00 €</w:t>
            </w:r>
          </w:p>
        </w:tc>
      </w:tr>
    </w:tbl>
    <w:bookmarkStart w:id="24" w:name="terms-and-conditions"/>
    <w:p>
      <w:pPr>
        <w:pStyle w:val="Heading4"/>
      </w:pPr>
      <w:r>
        <w:t xml:space="preserve">Terms and Conditions</w:t>
      </w:r>
    </w:p>
    <w:p>
      <w:pPr>
        <w:pStyle w:val="FirstParagraph"/>
      </w:pPr>
      <w:r>
        <w:t xml:space="preserve">This</w:t>
      </w:r>
      <w:r>
        <w:t xml:space="preserve"> </w:t>
      </w:r>
      <w:r>
        <w:rPr>
          <w:bCs/>
          <w:b/>
        </w:rPr>
        <w:t xml:space="preserve">Invoice</w:t>
      </w:r>
      <w:r>
        <w:t xml:space="preserve"> </w:t>
      </w:r>
      <w:r>
        <w:t xml:space="preserve">represents the final calculation for optometry services rendered by</w:t>
      </w:r>
      <w:r>
        <w:t xml:space="preserve"> </w:t>
      </w:r>
      <w:r>
        <w:rPr>
          <w:bCs/>
          <w:b/>
        </w:rPr>
        <w:t xml:space="preserve">Optique Méditerranée</w:t>
      </w:r>
      <w:r>
        <w:t xml:space="preserve">, a licensed</w:t>
      </w:r>
      <w:r>
        <w:t xml:space="preserve"> </w:t>
      </w:r>
      <w:r>
        <w:rPr>
          <w:bCs/>
          <w:b/>
        </w:rPr>
        <w:t xml:space="preserve">Optometrist</w:t>
      </w:r>
      <w:r>
        <w:t xml:space="preserve"> </w:t>
      </w:r>
      <w:r>
        <w:t xml:space="preserve">practice located in</w:t>
      </w:r>
      <w:r>
        <w:t xml:space="preserve"> </w:t>
      </w:r>
      <w:r>
        <w:rPr>
          <w:bCs/>
          <w:b/>
        </w:rPr>
        <w:t xml:space="preserve">France Marseille</w:t>
      </w:r>
      <w:r>
        <w:t xml:space="preserve">. All prices are quoted in Euros (€). The applicable Value Added Tax (TVA) rate of 20% is in accordance with current French fiscal regulations for optical goods and services.</w:t>
      </w:r>
    </w:p>
    <w:p>
      <w:pPr>
        <w:pStyle w:val="BodyText"/>
      </w:pPr>
      <w:r>
        <w:t xml:space="preserve">Payment is due within 30 days of the invoice date. Late payments may incur interest charges as per French commercial law. Please ensure that the invoice number is included in any correspondence or payment transfers.</w:t>
      </w:r>
    </w:p>
    <w:p>
      <w:pPr>
        <w:pStyle w:val="BodyText"/>
      </w:pPr>
      <w:r>
        <w:rPr>
          <w:bCs/>
          <w:b/>
        </w:rPr>
        <w:t xml:space="preserve">Insurance Information:</w:t>
      </w:r>
      <w:r>
        <w:t xml:space="preserve"> </w:t>
      </w:r>
      <w:r>
        <w:t xml:space="preserve">A portion of this invoice has been adjusted to reflect the reimbursement amount provided by your complementary health insurance (Mutuelle). The remaining balance is the patient's responsibility. If you require a separate document for your primary health insurance (Sécurité Sociale), please contact our administrative office in Marseille.</w:t>
      </w:r>
    </w:p>
    <w:p>
      <w:pPr>
        <w:pStyle w:val="BodyText"/>
      </w:pPr>
      <w:r>
        <w:rPr>
          <w:bCs/>
          <w:b/>
        </w:rPr>
        <w:t xml:space="preserve">Warranty:</w:t>
      </w:r>
      <w:r>
        <w:t xml:space="preserve"> </w:t>
      </w:r>
      <w:r>
        <w:t xml:space="preserve">All frames and lenses purchased through this</w:t>
      </w:r>
      <w:r>
        <w:t xml:space="preserve"> </w:t>
      </w:r>
      <w:r>
        <w:rPr>
          <w:bCs/>
          <w:b/>
        </w:rPr>
        <w:t xml:space="preserve">Optometrist</w:t>
      </w:r>
      <w:r>
        <w:t xml:space="preserve"> </w:t>
      </w:r>
      <w:r>
        <w:t xml:space="preserve">come with a 2-year warranty against manufacturing defects. This warranty does not cover damage resulting from misuse, accidents, or normal wear and tear. Adjustments for fit are complimentary for one year from the date of purchase.</w:t>
      </w:r>
    </w:p>
    <w:p>
      <w:pPr>
        <w:pStyle w:val="BodyText"/>
      </w:pPr>
      <w:r>
        <w:rPr>
          <w:bCs/>
          <w:b/>
        </w:rPr>
        <w:t xml:space="preserve">Privacy Policy:</w:t>
      </w:r>
      <w:r>
        <w:t xml:space="preserve"> </w:t>
      </w:r>
      <w:r>
        <w:t xml:space="preserve">In compliance with GDPR and French health data protection laws, your personal and medical information is kept strictly confidential and is used solely for the purpose of providing optometric care and billing.</w:t>
      </w:r>
    </w:p>
    <w:p>
      <w:pPr>
        <w:pStyle w:val="BodyText"/>
      </w:pPr>
      <w:r>
        <w:t xml:space="preserve">Thank you for choosing our professional services in</w:t>
      </w:r>
      <w:r>
        <w:t xml:space="preserve"> </w:t>
      </w:r>
      <w:r>
        <w:rPr>
          <w:bCs/>
          <w:b/>
        </w:rPr>
        <w:t xml:space="preserve">France Marseille</w:t>
      </w:r>
      <w:r>
        <w:t xml:space="preserve">. We are committed to maintaining the highest standards of eye care and customer satisfaction.</w:t>
      </w:r>
    </w:p>
    <w:bookmarkEnd w:id="24"/>
    <w:p>
      <w:pPr>
        <w:pStyle w:val="BodyText"/>
      </w:pPr>
      <w:r>
        <w:t xml:space="preserve">Optique Méditerranée | 123 La Canebière, 13001 Marseille, France | Tel: +33 4 91 00 00 00</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Optometry Services - Marseille, France</dc:title>
  <dc:creator/>
  <dc:language>en</dc:language>
  <cp:keywords/>
  <dcterms:created xsi:type="dcterms:W3CDTF">2026-10-10T08:03:19Z</dcterms:created>
  <dcterms:modified xsi:type="dcterms:W3CDTF">2026-10-10T08:03:19Z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