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riyadh-vision-care-center"/>
    <w:p>
      <w:pPr>
        <w:pStyle w:val="Heading1"/>
      </w:pPr>
      <w:r>
        <w:t xml:space="preserve">Riyadh Vision Care Center</w:t>
      </w:r>
    </w:p>
    <w:p>
      <w:pPr>
        <w:pStyle w:val="FirstParagraph"/>
      </w:pPr>
      <w:r>
        <w:rPr>
          <w:bCs/>
          <w:b/>
        </w:rPr>
        <w:t xml:space="preserve">Specialized Optometry &amp; Ophthalmology Clinic</w:t>
      </w:r>
    </w:p>
    <w:p>
      <w:pPr>
        <w:pStyle w:val="BodyText"/>
      </w:pPr>
      <w:r>
        <w:t xml:space="preserve">Address: Olaya District, King Fahd Road, Building 456</w:t>
      </w:r>
    </w:p>
    <w:p>
      <w:pPr>
        <w:pStyle w:val="BodyText"/>
      </w:pPr>
      <w:r>
        <w:t xml:space="preserve">Riyadh, 12211, Saudi Arabia</w:t>
      </w:r>
    </w:p>
    <w:p>
      <w:pPr>
        <w:pStyle w:val="BodyText"/>
      </w:pPr>
      <w:r>
        <w:t xml:space="preserve">Phone: +966 11 234 5678 | Email: billing@riyadhvisioncare.sa</w:t>
      </w:r>
    </w:p>
    <w:p>
      <w:pPr>
        <w:pStyle w:val="BodyText"/>
      </w:pPr>
      <w:r>
        <w:t xml:space="preserve">ZATCA VAT Registration Number: 300123456789003</w:t>
      </w:r>
    </w:p>
    <w:bookmarkEnd w:id="20"/>
    <w:bookmarkStart w:id="21" w:name="tax-invoice"/>
    <w:p>
      <w:pPr>
        <w:pStyle w:val="Heading2"/>
      </w:pPr>
      <w:r>
        <w:t xml:space="preserve">TAX INVOICE</w:t>
      </w:r>
    </w:p>
    <w:p>
      <w:pPr>
        <w:pStyle w:val="FirstParagraph"/>
      </w:pPr>
      <w:r>
        <w:rPr>
          <w:bCs/>
          <w:b/>
        </w:rPr>
        <w:t xml:space="preserve">Invoice Number:</w:t>
      </w:r>
      <w:r>
        <w:t xml:space="preserve"> </w:t>
      </w:r>
      <w:r>
        <w:t xml:space="preserve">INV-2023-10-0045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Al-Rajhi Medical Insurance Company</w:t>
      </w:r>
    </w:p>
    <w:p>
      <w:pPr>
        <w:pStyle w:val="BodyText"/>
      </w:pPr>
      <w:r>
        <w:t xml:space="preserve">Attn: Claims Department</w:t>
      </w:r>
    </w:p>
    <w:p>
      <w:pPr>
        <w:pStyle w:val="BodyText"/>
      </w:pPr>
      <w:r>
        <w:t xml:space="preserve">Address: King Abdulaziz Road, Al Malqa</w:t>
      </w:r>
    </w:p>
    <w:p>
      <w:pPr>
        <w:pStyle w:val="BodyText"/>
      </w:pPr>
      <w:r>
        <w:t xml:space="preserve">Riyadh, 11564, Saudi Arabia</w:t>
      </w:r>
    </w:p>
    <w:p>
      <w:pPr>
        <w:pStyle w:val="BodyText"/>
      </w:pPr>
      <w:r>
        <w:t xml:space="preserve">VAT Number: 310987654321003</w:t>
      </w:r>
    </w:p>
    <w:bookmarkEnd w:id="22"/>
    <w:bookmarkStart w:id="23" w:name="patient-details"/>
    <w:p>
      <w:pPr>
        <w:pStyle w:val="Heading3"/>
      </w:pPr>
      <w:r>
        <w:t xml:space="preserve">Patient Details:</w:t>
      </w:r>
    </w:p>
    <w:p>
      <w:pPr>
        <w:pStyle w:val="FirstParagraph"/>
      </w:pPr>
      <w:r>
        <w:rPr>
          <w:bCs/>
          <w:b/>
        </w:rPr>
        <w:t xml:space="preserve">Name:</w:t>
      </w:r>
      <w:r>
        <w:t xml:space="preserve"> </w:t>
      </w:r>
      <w:r>
        <w:t xml:space="preserve">Ahmed Mohammed Al-Saud</w:t>
      </w:r>
    </w:p>
    <w:p>
      <w:pPr>
        <w:pStyle w:val="BodyText"/>
      </w:pPr>
      <w:r>
        <w:rPr>
          <w:bCs/>
          <w:b/>
        </w:rPr>
        <w:t xml:space="preserve">National ID / Iqama:</w:t>
      </w:r>
      <w:r>
        <w:t xml:space="preserve"> </w:t>
      </w:r>
      <w:r>
        <w:t xml:space="preserve">1098765432</w:t>
      </w:r>
    </w:p>
    <w:p>
      <w:pPr>
        <w:pStyle w:val="BodyText"/>
      </w:pPr>
      <w:r>
        <w:rPr>
          <w:bCs/>
          <w:b/>
        </w:rPr>
        <w:t xml:space="preserve">Policy Number:</w:t>
      </w:r>
      <w:r>
        <w:t xml:space="preserve"> </w:t>
      </w:r>
      <w:r>
        <w:t xml:space="preserve">ARC-99887766</w:t>
      </w:r>
    </w:p>
    <w:p>
      <w:pPr>
        <w:pStyle w:val="BodyText"/>
      </w:pPr>
      <w:r>
        <w:rPr>
          <w:bCs/>
          <w:b/>
        </w:rPr>
        <w:t xml:space="preserve">Contact:</w:t>
      </w:r>
      <w:r>
        <w:t xml:space="preserve"> </w:t>
      </w:r>
      <w:r>
        <w:t xml:space="preserve">+966 50 123 4567</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Optometry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Comprehensive Eye Examination</w:t>
            </w:r>
            <w:r>
              <w:br/>
            </w:r>
            <w:r>
              <w:t xml:space="preserve">Includes visual acuity testing, refraction, and ocular health assessment performed by a licensed Optometrist in Riyadh.</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52.50</w:t>
            </w:r>
          </w:p>
        </w:tc>
      </w:tr>
      <w:tr>
        <w:tc>
          <w:tcPr/>
          <w:p>
            <w:pPr>
              <w:pStyle w:val="Compact"/>
              <w:jc w:val="left"/>
            </w:pPr>
            <w:r>
              <w:t xml:space="preserve">2</w:t>
            </w:r>
          </w:p>
        </w:tc>
        <w:tc>
          <w:tcPr/>
          <w:p>
            <w:pPr>
              <w:pStyle w:val="Compact"/>
              <w:jc w:val="left"/>
            </w:pPr>
            <w:r>
              <w:rPr>
                <w:bCs/>
                <w:b/>
              </w:rPr>
              <w:t xml:space="preserve">Dilated Fundus Examination</w:t>
            </w:r>
            <w:r>
              <w:br/>
            </w:r>
            <w:r>
              <w:t xml:space="preserve">Advanced retinal screening to detect early signs of diabetic retinopathy and glaucoma.</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c>
          <w:tcPr/>
          <w:p>
            <w:pPr>
              <w:pStyle w:val="Compact"/>
              <w:jc w:val="left"/>
            </w:pPr>
            <w:r>
              <w:t xml:space="preserve">30.00</w:t>
            </w:r>
          </w:p>
        </w:tc>
      </w:tr>
      <w:tr>
        <w:tc>
          <w:tcPr/>
          <w:p>
            <w:pPr>
              <w:pStyle w:val="Compact"/>
              <w:jc w:val="left"/>
            </w:pPr>
            <w:r>
              <w:t xml:space="preserve">3</w:t>
            </w:r>
          </w:p>
        </w:tc>
        <w:tc>
          <w:tcPr/>
          <w:p>
            <w:pPr>
              <w:pStyle w:val="Compact"/>
              <w:jc w:val="left"/>
            </w:pPr>
            <w:r>
              <w:rPr>
                <w:bCs/>
                <w:b/>
              </w:rPr>
              <w:t xml:space="preserve">Prescription Eyewear Dispensing</w:t>
            </w:r>
            <w:r>
              <w:br/>
            </w:r>
            <w:r>
              <w:t xml:space="preserve">High-index anti-reflective lenses with premium titanium frame. Includes fitting and adjustment.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180.00</w:t>
            </w:r>
          </w:p>
        </w:tc>
      </w:tr>
      <w:tr>
        <w:tc>
          <w:tcPr/>
          <w:p>
            <w:pPr>
              <w:pStyle w:val="Compact"/>
              <w:jc w:val="left"/>
            </w:pPr>
            <w:r>
              <w:t xml:space="preserve">4</w:t>
            </w:r>
          </w:p>
        </w:tc>
        <w:tc>
          <w:tcPr/>
          <w:p>
            <w:pPr>
              <w:pStyle w:val="Compact"/>
              <w:jc w:val="left"/>
            </w:pPr>
            <w:r>
              <w:rPr>
                <w:bCs/>
                <w:b/>
              </w:rPr>
              <w:t xml:space="preserve">Orthokeratology Consultation</w:t>
            </w:r>
            <w:r>
              <w:br/>
            </w:r>
            <w:r>
              <w:t xml:space="preserve">Specialized assessment for overnight lens wear to correct myopia.</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67.50</w:t>
            </w:r>
          </w:p>
        </w:tc>
      </w:tr>
      <w:tr>
        <w:tc>
          <w:tcPr/>
          <w:p>
            <w:pPr>
              <w:pStyle w:val="Compact"/>
              <w:jc w:val="left"/>
            </w:pPr>
            <w:r>
              <w:t xml:space="preserve">5</w:t>
            </w:r>
          </w:p>
        </w:tc>
        <w:tc>
          <w:tcPr/>
          <w:p>
            <w:pPr>
              <w:pStyle w:val="Compact"/>
              <w:jc w:val="left"/>
            </w:pPr>
            <w:r>
              <w:rPr>
                <w:bCs/>
                <w:b/>
              </w:rPr>
              <w:t xml:space="preserve">Visual Field Test (Perimetry)</w:t>
            </w:r>
            <w:r>
              <w:br/>
            </w:r>
            <w:r>
              <w:t xml:space="preserve">Computerized mapping of peripheral vision.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22.50</w:t>
            </w:r>
          </w:p>
        </w:tc>
      </w:tr>
    </w:tbl>
    <w:p>
      <w:pPr>
        <w:pStyle w:val="BodyText"/>
      </w:pPr>
      <w:r>
        <w:t xml:space="preserve">Subtotal:</w:t>
      </w:r>
      <w:r>
        <w:t xml:space="preserve"> </w:t>
      </w:r>
      <w:r>
        <w:t xml:space="preserve">2,350.00 SAR</w:t>
      </w:r>
    </w:p>
    <w:p>
      <w:pPr>
        <w:pStyle w:val="BodyText"/>
      </w:pPr>
      <w:r>
        <w:t xml:space="preserve">VAT (15%):</w:t>
      </w:r>
      <w:r>
        <w:t xml:space="preserve"> </w:t>
      </w:r>
      <w:r>
        <w:t xml:space="preserve">352.50 SAR</w:t>
      </w:r>
    </w:p>
    <w:p>
      <w:pPr>
        <w:pStyle w:val="BodyText"/>
      </w:pPr>
      <w:r>
        <w:t xml:space="preserve">Total Amount Due:</w:t>
      </w:r>
      <w:r>
        <w:t xml:space="preserve"> </w:t>
      </w:r>
      <w:r>
        <w:t xml:space="preserve">2,702.50 SAR</w:t>
      </w:r>
    </w:p>
    <w:bookmarkStart w:id="24" w:name="X4574419339fd10e8fbe7cac68780d83f55c2c15"/>
    <w:p>
      <w:pPr>
        <w:pStyle w:val="Heading3"/>
      </w:pPr>
      <w:r>
        <w:t xml:space="preserve">Terms, Conditions, and Regulatory Compliance</w:t>
      </w:r>
    </w:p>
    <w:p>
      <w:pPr>
        <w:pStyle w:val="FirstParagraph"/>
      </w:pPr>
      <w:r>
        <w:t xml:space="preserve">This invoice is issued in accordance with the regulations set forth by the Zakat, Tax and Customs Authority (ZATCA) in Saudi Arabia. All services listed above were provided by certified professionals at our Riyadh facility. The term "Optometrist" refers to the licensed healthcare provider responsible for the diagnosis and management of vision conditions as per the Saudi Commission for Health Specialties (SCFHS) standards.</w:t>
      </w:r>
    </w:p>
    <w:p>
      <w:pPr>
        <w:pStyle w:val="BodyText"/>
      </w:pPr>
      <w:r>
        <w:rPr>
          <w:bCs/>
          <w:b/>
        </w:rPr>
        <w:t xml:space="preserve">Payment Instructions:</w:t>
      </w:r>
      <w:r>
        <w:t xml:space="preserve"> </w:t>
      </w:r>
      <w:r>
        <w:t xml:space="preserve">Payments should be made via bank transfer to Al Rajhi Bank, Account Name: Riyadh Vision Care Center, IBAN: SA03 8000 0000 6080 1016 7519. Please reference the Invoice Number INV-2023-10-0045 in the transfer description.</w:t>
      </w:r>
    </w:p>
    <w:p>
      <w:pPr>
        <w:pStyle w:val="BodyText"/>
      </w:pPr>
      <w:r>
        <w:rPr>
          <w:bCs/>
          <w:b/>
        </w:rPr>
        <w:t xml:space="preserve">Validity:</w:t>
      </w:r>
      <w:r>
        <w:t xml:space="preserve"> </w:t>
      </w:r>
      <w:r>
        <w:t xml:space="preserve">This invoice is valid for 30 days from the date of issue. Late payments may incur a penalty as per Saudi commercial law.</w:t>
      </w:r>
    </w:p>
    <w:p>
      <w:pPr>
        <w:pStyle w:val="BodyText"/>
      </w:pPr>
      <w:r>
        <w:rPr>
          <w:bCs/>
          <w:b/>
        </w:rPr>
        <w:t xml:space="preserve">Disclaimer:</w:t>
      </w:r>
      <w:r>
        <w:t xml:space="preserve"> </w:t>
      </w:r>
      <w:r>
        <w:t xml:space="preserve">This document serves as a formal request for payment for optometric services rendered. It is not a medical prescription but a financial record. For medical queries, please contact our clinical team directly.</w:t>
      </w:r>
    </w:p>
    <w:bookmarkEnd w:id="24"/>
    <w:p>
      <w:pPr>
        <w:pStyle w:val="BodyText"/>
      </w:pPr>
      <w:r>
        <w:t xml:space="preserve">Thank you for choosing Riyadh Vision Care Center for your eye health needs.</w:t>
      </w:r>
    </w:p>
    <w:p>
      <w:pPr>
        <w:pStyle w:val="BodyText"/>
      </w:pPr>
      <w:r>
        <w:t xml:space="preserve">Generated on October 24, 2023 | Page 1 of 1</w:t>
      </w:r>
    </w:p>
    <w:p>
      <w:pPr>
        <w:pStyle w:val="BodyText"/>
      </w:pPr>
      <w:r>
        <w:t xml:space="preserve">© 2023 Riyadh Vision Care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Riyadh, Saudi Arabia</dc:title>
  <dc:creator/>
  <dc:language>en</dc:language>
  <cp:keywords/>
  <dcterms:created xsi:type="dcterms:W3CDTF">2026-10-10T06:44:14Z</dcterms:created>
  <dcterms:modified xsi:type="dcterms:W3CDTF">2026-10-10T06:44:14Z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