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Berlin,</w:t>
      </w:r>
      <w:r>
        <w:t xml:space="preserve"> </w:t>
      </w:r>
      <w:r>
        <w:t xml:space="preserve">Germany</w:t>
      </w:r>
    </w:p>
    <w:bookmarkStart w:id="20" w:name="dr.-elena-weber-associates"/>
    <w:p>
      <w:pPr>
        <w:pStyle w:val="Heading1"/>
      </w:pPr>
      <w:r>
        <w:t xml:space="preserve">Dr. Elena Weber &amp; Associates</w:t>
      </w:r>
    </w:p>
    <w:p>
      <w:pPr>
        <w:pStyle w:val="FirstParagraph"/>
      </w:pPr>
      <w:r>
        <w:rPr>
          <w:bCs/>
          <w:b/>
        </w:rPr>
        <w:t xml:space="preserve">Specialized Orthodontic Practice</w:t>
      </w:r>
    </w:p>
    <w:p>
      <w:pPr>
        <w:pStyle w:val="BodyText"/>
      </w:pPr>
      <w:r>
        <w:t xml:space="preserve">Kurfürstendamm 185</w:t>
      </w:r>
    </w:p>
    <w:p>
      <w:pPr>
        <w:pStyle w:val="BodyText"/>
      </w:pPr>
      <w:r>
        <w:t xml:space="preserve">10707 Berlin, Germany</w:t>
      </w:r>
    </w:p>
    <w:p>
      <w:pPr>
        <w:pStyle w:val="BodyText"/>
      </w:pPr>
      <w:r>
        <w:t xml:space="preserve">Tel: +49 30 1234 5678</w:t>
      </w:r>
    </w:p>
    <w:p>
      <w:pPr>
        <w:pStyle w:val="BodyText"/>
      </w:pPr>
      <w:r>
        <w:t xml:space="preserve">Email: office@orthodontist-berlin.de</w:t>
      </w:r>
    </w:p>
    <w:p>
      <w:pPr>
        <w:pStyle w:val="BodyText"/>
      </w:pPr>
      <w:r>
        <w:t xml:space="preserve">USt-IdNr.: DE123456789</w:t>
      </w:r>
    </w:p>
    <w:p>
      <w:pPr>
        <w:pStyle w:val="BodyText"/>
      </w:pPr>
      <w:r>
        <w:t xml:space="preserve">Kammer-Nr.: 12345</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Treatment Plan Phase II</w:t>
      </w:r>
    </w:p>
    <w:bookmarkEnd w:id="21"/>
    <w:bookmarkStart w:id="22" w:name="bill-to-insurance-payer"/>
    <w:p>
      <w:pPr>
        <w:pStyle w:val="Heading3"/>
      </w:pPr>
      <w:r>
        <w:t xml:space="preserve">Bill To (Insurance / Payer)</w:t>
      </w:r>
    </w:p>
    <w:p>
      <w:pPr>
        <w:pStyle w:val="FirstParagraph"/>
      </w:pPr>
      <w:r>
        <w:rPr>
          <w:bCs/>
          <w:b/>
        </w:rPr>
        <w:t xml:space="preserve">AOK Berlin</w:t>
      </w:r>
    </w:p>
    <w:p>
      <w:pPr>
        <w:pStyle w:val="BodyText"/>
      </w:pPr>
      <w:r>
        <w:t xml:space="preserve">Invalidenstraße 158</w:t>
      </w:r>
    </w:p>
    <w:p>
      <w:pPr>
        <w:pStyle w:val="BodyText"/>
      </w:pPr>
      <w:r>
        <w:t xml:space="preserve">10115 Berlin, Germany</w:t>
      </w:r>
    </w:p>
    <w:p>
      <w:pPr>
        <w:pStyle w:val="BodyText"/>
      </w:pPr>
      <w:r>
        <w:t xml:space="preserve">Insurance ID: AOK-BER-987654321</w:t>
      </w:r>
    </w:p>
    <w:bookmarkEnd w:id="22"/>
    <w:bookmarkStart w:id="23" w:name="patient-details"/>
    <w:p>
      <w:pPr>
        <w:pStyle w:val="Heading3"/>
      </w:pPr>
      <w:r>
        <w:t xml:space="preserve">Patient Details</w:t>
      </w:r>
    </w:p>
    <w:p>
      <w:pPr>
        <w:pStyle w:val="FirstParagraph"/>
      </w:pPr>
      <w:r>
        <w:rPr>
          <w:bCs/>
          <w:b/>
        </w:rPr>
        <w:t xml:space="preserve">Name:</w:t>
      </w:r>
      <w:r>
        <w:t xml:space="preserve"> </w:t>
      </w:r>
      <w:r>
        <w:t xml:space="preserve">Max Mustermann</w:t>
      </w:r>
    </w:p>
    <w:p>
      <w:pPr>
        <w:pStyle w:val="BodyText"/>
      </w:pPr>
      <w:r>
        <w:rPr>
          <w:bCs/>
          <w:b/>
        </w:rPr>
        <w:t xml:space="preserve">Date of Birth:</w:t>
      </w:r>
      <w:r>
        <w:t xml:space="preserve"> </w:t>
      </w:r>
      <w:r>
        <w:t xml:space="preserve">15.05.2010</w:t>
      </w:r>
    </w:p>
    <w:p>
      <w:pPr>
        <w:pStyle w:val="BodyText"/>
      </w:pPr>
      <w:r>
        <w:rPr>
          <w:bCs/>
          <w:b/>
        </w:rPr>
        <w:t xml:space="preserve">Address:</w:t>
      </w:r>
      <w:r>
        <w:t xml:space="preserve"> </w:t>
      </w:r>
      <w:r>
        <w:t xml:space="preserve">Friedrichstraße 100, 10117 Berlin</w:t>
      </w:r>
    </w:p>
    <w:p>
      <w:pPr>
        <w:pStyle w:val="BodyText"/>
      </w:pPr>
      <w:r>
        <w:rPr>
          <w:bCs/>
          <w:b/>
        </w:rPr>
        <w:t xml:space="preserve">Case Number:</w:t>
      </w:r>
      <w:r>
        <w:t xml:space="preserve"> </w:t>
      </w:r>
      <w:r>
        <w:t xml:space="preserve">OM-2023-089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Orthodontic Services</w:t>
            </w:r>
          </w:p>
        </w:tc>
        <w:tc>
          <w:tcPr/>
          <w:p>
            <w:pPr>
              <w:pStyle w:val="Compact"/>
              <w:jc w:val="left"/>
            </w:pPr>
            <w:r>
              <w:t xml:space="preserve">GOZ / Code</w:t>
            </w:r>
          </w:p>
        </w:tc>
        <w:tc>
          <w:tcPr/>
          <w:p>
            <w:pPr>
              <w:pStyle w:val="Compact"/>
              <w:jc w:val="left"/>
            </w:pPr>
            <w:r>
              <w:t xml:space="preserve">Factor</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t xml:space="preserve">Initial comprehensive orthodontic examination in Berlin, including panoramic X-ray analysis and cephalometric evaluation to determine malocclusion severity.</w:t>
            </w:r>
          </w:p>
        </w:tc>
        <w:tc>
          <w:tcPr/>
          <w:p>
            <w:pPr>
              <w:pStyle w:val="Compact"/>
              <w:jc w:val="left"/>
            </w:pPr>
            <w:r>
              <w:t xml:space="preserve">01010</w:t>
            </w:r>
          </w:p>
        </w:tc>
        <w:tc>
          <w:tcPr/>
          <w:p>
            <w:pPr>
              <w:pStyle w:val="Compact"/>
              <w:jc w:val="left"/>
            </w:pPr>
            <w:r>
              <w:t xml:space="preserve">2.3</w:t>
            </w:r>
          </w:p>
        </w:tc>
        <w:tc>
          <w:tcPr/>
          <w:p>
            <w:pPr>
              <w:pStyle w:val="Compact"/>
              <w:jc w:val="left"/>
            </w:pPr>
            <w:r>
              <w:t xml:space="preserve">45.00</w:t>
            </w:r>
          </w:p>
        </w:tc>
        <w:tc>
          <w:tcPr/>
          <w:p>
            <w:pPr>
              <w:pStyle w:val="Compact"/>
              <w:jc w:val="left"/>
            </w:pPr>
            <w:r>
              <w:t xml:space="preserve">103.50</w:t>
            </w:r>
          </w:p>
        </w:tc>
      </w:tr>
      <w:tr>
        <w:tc>
          <w:tcPr/>
          <w:p>
            <w:pPr>
              <w:pStyle w:val="Compact"/>
              <w:jc w:val="left"/>
            </w:pPr>
            <w:r>
              <w:t xml:space="preserve">2</w:t>
            </w:r>
          </w:p>
        </w:tc>
        <w:tc>
          <w:tcPr/>
          <w:p>
            <w:pPr>
              <w:pStyle w:val="Compact"/>
              <w:jc w:val="left"/>
            </w:pPr>
            <w:r>
              <w:t xml:space="preserve">Creation of diagnostic models and study casts for treatment planning. Essential for the precise alignment strategy required for complex cases in our Berlin clinic.</w:t>
            </w:r>
          </w:p>
        </w:tc>
        <w:tc>
          <w:tcPr/>
          <w:p>
            <w:pPr>
              <w:pStyle w:val="Compact"/>
              <w:jc w:val="left"/>
            </w:pPr>
            <w:r>
              <w:t xml:space="preserve">01020</w:t>
            </w:r>
          </w:p>
        </w:tc>
        <w:tc>
          <w:tcPr/>
          <w:p>
            <w:pPr>
              <w:pStyle w:val="Compact"/>
              <w:jc w:val="left"/>
            </w:pPr>
            <w:r>
              <w:t xml:space="preserve">2.0</w:t>
            </w:r>
          </w:p>
        </w:tc>
        <w:tc>
          <w:tcPr/>
          <w:p>
            <w:pPr>
              <w:pStyle w:val="Compact"/>
              <w:jc w:val="left"/>
            </w:pPr>
            <w:r>
              <w:t xml:space="preserve">30.00</w:t>
            </w:r>
          </w:p>
        </w:tc>
        <w:tc>
          <w:tcPr/>
          <w:p>
            <w:pPr>
              <w:pStyle w:val="Compact"/>
              <w:jc w:val="left"/>
            </w:pPr>
            <w:r>
              <w:t xml:space="preserve">60.00</w:t>
            </w:r>
          </w:p>
        </w:tc>
      </w:tr>
      <w:tr>
        <w:tc>
          <w:tcPr/>
          <w:p>
            <w:pPr>
              <w:pStyle w:val="Compact"/>
              <w:jc w:val="left"/>
            </w:pPr>
            <w:r>
              <w:t xml:space="preserve">3</w:t>
            </w:r>
          </w:p>
        </w:tc>
        <w:tc>
          <w:tcPr/>
          <w:p>
            <w:pPr>
              <w:pStyle w:val="Compact"/>
              <w:jc w:val="left"/>
            </w:pPr>
            <w:r>
              <w:t xml:space="preserve">Application of fixed orthodontic appliance (braces) on the upper jaw. Includes bonding of brackets and archwire insertion according to German medical standards.</w:t>
            </w:r>
          </w:p>
        </w:tc>
        <w:tc>
          <w:tcPr/>
          <w:p>
            <w:pPr>
              <w:pStyle w:val="Compact"/>
              <w:jc w:val="left"/>
            </w:pPr>
            <w:r>
              <w:t xml:space="preserve">05010</w:t>
            </w:r>
          </w:p>
        </w:tc>
        <w:tc>
          <w:tcPr/>
          <w:p>
            <w:pPr>
              <w:pStyle w:val="Compact"/>
              <w:jc w:val="left"/>
            </w:pPr>
            <w:r>
              <w:t xml:space="preserve">3.5</w:t>
            </w:r>
          </w:p>
        </w:tc>
        <w:tc>
          <w:tcPr/>
          <w:p>
            <w:pPr>
              <w:pStyle w:val="Compact"/>
              <w:jc w:val="left"/>
            </w:pPr>
            <w:r>
              <w:t xml:space="preserve">150.00</w:t>
            </w:r>
          </w:p>
        </w:tc>
        <w:tc>
          <w:tcPr/>
          <w:p>
            <w:pPr>
              <w:pStyle w:val="Compact"/>
              <w:jc w:val="left"/>
            </w:pPr>
            <w:r>
              <w:t xml:space="preserve">525.00</w:t>
            </w:r>
          </w:p>
        </w:tc>
      </w:tr>
      <w:tr>
        <w:tc>
          <w:tcPr/>
          <w:p>
            <w:pPr>
              <w:pStyle w:val="Compact"/>
              <w:jc w:val="left"/>
            </w:pPr>
            <w:r>
              <w:t xml:space="preserve">4</w:t>
            </w:r>
          </w:p>
        </w:tc>
        <w:tc>
          <w:tcPr/>
          <w:p>
            <w:pPr>
              <w:pStyle w:val="Compact"/>
              <w:jc w:val="left"/>
            </w:pPr>
            <w:r>
              <w:t xml:space="preserve">Application of fixed orthodontic appliance (braces) on the lower jaw. Comprehensive bonding procedure ensuring optimal force distribution.</w:t>
            </w:r>
          </w:p>
        </w:tc>
        <w:tc>
          <w:tcPr/>
          <w:p>
            <w:pPr>
              <w:pStyle w:val="Compact"/>
              <w:jc w:val="left"/>
            </w:pPr>
            <w:r>
              <w:t xml:space="preserve">05010</w:t>
            </w:r>
          </w:p>
        </w:tc>
        <w:tc>
          <w:tcPr/>
          <w:p>
            <w:pPr>
              <w:pStyle w:val="Compact"/>
              <w:jc w:val="left"/>
            </w:pPr>
            <w:r>
              <w:t xml:space="preserve">3.5</w:t>
            </w:r>
          </w:p>
        </w:tc>
        <w:tc>
          <w:tcPr/>
          <w:p>
            <w:pPr>
              <w:pStyle w:val="Compact"/>
              <w:jc w:val="left"/>
            </w:pPr>
            <w:r>
              <w:t xml:space="preserve">150.00</w:t>
            </w:r>
          </w:p>
        </w:tc>
        <w:tc>
          <w:tcPr/>
          <w:p>
            <w:pPr>
              <w:pStyle w:val="Compact"/>
              <w:jc w:val="left"/>
            </w:pPr>
            <w:r>
              <w:t xml:space="preserve">525.00</w:t>
            </w:r>
          </w:p>
        </w:tc>
      </w:tr>
      <w:tr>
        <w:tc>
          <w:tcPr/>
          <w:p>
            <w:pPr>
              <w:pStyle w:val="Compact"/>
              <w:jc w:val="left"/>
            </w:pPr>
            <w:r>
              <w:t xml:space="preserve">5</w:t>
            </w:r>
          </w:p>
        </w:tc>
        <w:tc>
          <w:tcPr/>
          <w:p>
            <w:pPr>
              <w:pStyle w:val="Compact"/>
              <w:jc w:val="left"/>
            </w:pPr>
            <w:r>
              <w:t xml:space="preserve">Monthly adjustment appointment. Includes wire changes, ligature replacement, and progress monitoring. This invoice covers the adjustment for October 2023.</w:t>
            </w:r>
          </w:p>
        </w:tc>
        <w:tc>
          <w:tcPr/>
          <w:p>
            <w:pPr>
              <w:pStyle w:val="Compact"/>
              <w:jc w:val="left"/>
            </w:pPr>
            <w:r>
              <w:t xml:space="preserve">05030</w:t>
            </w:r>
          </w:p>
        </w:tc>
        <w:tc>
          <w:tcPr/>
          <w:p>
            <w:pPr>
              <w:pStyle w:val="Compact"/>
              <w:jc w:val="left"/>
            </w:pPr>
            <w:r>
              <w:t xml:space="preserve">2.0</w:t>
            </w:r>
          </w:p>
        </w:tc>
        <w:tc>
          <w:tcPr/>
          <w:p>
            <w:pPr>
              <w:pStyle w:val="Compact"/>
              <w:jc w:val="left"/>
            </w:pPr>
            <w:r>
              <w:t xml:space="preserve">60.00</w:t>
            </w:r>
          </w:p>
        </w:tc>
        <w:tc>
          <w:tcPr/>
          <w:p>
            <w:pPr>
              <w:pStyle w:val="Compact"/>
              <w:jc w:val="left"/>
            </w:pPr>
            <w:r>
              <w:t xml:space="preserve">120.00</w:t>
            </w:r>
          </w:p>
        </w:tc>
      </w:tr>
      <w:tr>
        <w:tc>
          <w:tcPr/>
          <w:p>
            <w:pPr>
              <w:pStyle w:val="Compact"/>
              <w:jc w:val="left"/>
            </w:pPr>
            <w:r>
              <w:t xml:space="preserve">6</w:t>
            </w:r>
          </w:p>
        </w:tc>
        <w:tc>
          <w:tcPr/>
          <w:p>
            <w:pPr>
              <w:pStyle w:val="Compact"/>
              <w:jc w:val="left"/>
            </w:pPr>
            <w:r>
              <w:t xml:space="preserve">Intermaxillary elastics prescription and fitting. Used to correct bite discrepancies as part of the ongoing treatment in our Berlin facility.</w:t>
            </w:r>
          </w:p>
        </w:tc>
        <w:tc>
          <w:tcPr/>
          <w:p>
            <w:pPr>
              <w:pStyle w:val="Compact"/>
              <w:jc w:val="left"/>
            </w:pPr>
            <w:r>
              <w:t xml:space="preserve">05040</w:t>
            </w:r>
          </w:p>
        </w:tc>
        <w:tc>
          <w:tcPr/>
          <w:p>
            <w:pPr>
              <w:pStyle w:val="Compact"/>
              <w:jc w:val="left"/>
            </w:pPr>
            <w:r>
              <w:t xml:space="preserve">1.5</w:t>
            </w:r>
          </w:p>
        </w:tc>
        <w:tc>
          <w:tcPr/>
          <w:p>
            <w:pPr>
              <w:pStyle w:val="Compact"/>
              <w:jc w:val="left"/>
            </w:pPr>
            <w:r>
              <w:t xml:space="preserve">25.00</w:t>
            </w:r>
          </w:p>
        </w:tc>
        <w:tc>
          <w:tcPr/>
          <w:p>
            <w:pPr>
              <w:pStyle w:val="Compact"/>
              <w:jc w:val="left"/>
            </w:pPr>
            <w:r>
              <w:t xml:space="preserve">37.50</w:t>
            </w:r>
          </w:p>
        </w:tc>
      </w:tr>
      <w:tr>
        <w:tc>
          <w:tcPr/>
          <w:p>
            <w:pPr>
              <w:pStyle w:val="Compact"/>
              <w:jc w:val="left"/>
            </w:pPr>
            <w:r>
              <w:t xml:space="preserve">7</w:t>
            </w:r>
          </w:p>
        </w:tc>
        <w:tc>
          <w:tcPr/>
          <w:p>
            <w:pPr>
              <w:pStyle w:val="Compact"/>
              <w:jc w:val="left"/>
            </w:pPr>
            <w:r>
              <w:t xml:space="preserve">Intraoral radiographic control (Bitewing). To monitor root health and bone levels during active orthodontic movement.</w:t>
            </w:r>
          </w:p>
        </w:tc>
        <w:tc>
          <w:tcPr/>
          <w:p>
            <w:pPr>
              <w:pStyle w:val="Compact"/>
              <w:jc w:val="left"/>
            </w:pPr>
            <w:r>
              <w:t xml:space="preserve">03010</w:t>
            </w:r>
          </w:p>
        </w:tc>
        <w:tc>
          <w:tcPr/>
          <w:p>
            <w:pPr>
              <w:pStyle w:val="Compact"/>
              <w:jc w:val="left"/>
            </w:pPr>
            <w:r>
              <w:t xml:space="preserve">2.0</w:t>
            </w:r>
          </w:p>
        </w:tc>
        <w:tc>
          <w:tcPr/>
          <w:p>
            <w:pPr>
              <w:pStyle w:val="Compact"/>
              <w:jc w:val="left"/>
            </w:pPr>
            <w:r>
              <w:t xml:space="preserve">40.00</w:t>
            </w:r>
          </w:p>
        </w:tc>
        <w:tc>
          <w:tcPr/>
          <w:p>
            <w:pPr>
              <w:pStyle w:val="Compact"/>
              <w:jc w:val="left"/>
            </w:pPr>
            <w:r>
              <w:t xml:space="preserve">80.00</w:t>
            </w:r>
          </w:p>
        </w:tc>
      </w:tr>
      <w:tr>
        <w:tc>
          <w:tcPr/>
          <w:p>
            <w:pPr>
              <w:pStyle w:val="Compact"/>
              <w:jc w:val="left"/>
            </w:pPr>
            <w:r>
              <w:t xml:space="preserve">8</w:t>
            </w:r>
          </w:p>
        </w:tc>
        <w:tc>
          <w:tcPr/>
          <w:p>
            <w:pPr>
              <w:pStyle w:val="Compact"/>
              <w:jc w:val="left"/>
            </w:pPr>
            <w:r>
              <w:t xml:space="preserve">Professional prophylaxis and cleaning around orthodontic brackets. Crucial for preventing decalcification and gingivitis during treatment in Germany.</w:t>
            </w:r>
          </w:p>
        </w:tc>
        <w:tc>
          <w:tcPr/>
          <w:p>
            <w:pPr>
              <w:pStyle w:val="Compact"/>
              <w:jc w:val="left"/>
            </w:pPr>
            <w:r>
              <w:t xml:space="preserve">01710</w:t>
            </w:r>
          </w:p>
        </w:tc>
        <w:tc>
          <w:tcPr/>
          <w:p>
            <w:pPr>
              <w:pStyle w:val="Compact"/>
              <w:jc w:val="left"/>
            </w:pPr>
            <w:r>
              <w:t xml:space="preserve">2.5</w:t>
            </w:r>
          </w:p>
        </w:tc>
        <w:tc>
          <w:tcPr/>
          <w:p>
            <w:pPr>
              <w:pStyle w:val="Compact"/>
              <w:jc w:val="left"/>
            </w:pPr>
            <w:r>
              <w:t xml:space="preserve">55.00</w:t>
            </w:r>
          </w:p>
        </w:tc>
        <w:tc>
          <w:tcPr/>
          <w:p>
            <w:pPr>
              <w:pStyle w:val="Compact"/>
              <w:jc w:val="left"/>
            </w:pPr>
            <w:r>
              <w:t xml:space="preserve">137.50</w:t>
            </w:r>
          </w:p>
        </w:tc>
      </w:tr>
    </w:tbl>
    <w:p>
      <w:pPr>
        <w:pStyle w:val="BodyText"/>
      </w:pPr>
      <w:r>
        <w:t xml:space="preserve">Subtotal (Net):</w:t>
      </w:r>
      <w:r>
        <w:t xml:space="preserve"> </w:t>
      </w:r>
      <w:r>
        <w:t xml:space="preserve">1,588.50 €</w:t>
      </w:r>
    </w:p>
    <w:p>
      <w:pPr>
        <w:pStyle w:val="BodyText"/>
      </w:pPr>
      <w:r>
        <w:t xml:space="preserve">VAT (19% - Umsatzsteuer):</w:t>
      </w:r>
      <w:r>
        <w:t xml:space="preserve"> </w:t>
      </w:r>
      <w:r>
        <w:t xml:space="preserve">301.82 €</w:t>
      </w:r>
    </w:p>
    <w:p>
      <w:pPr>
        <w:pStyle w:val="BodyText"/>
      </w:pPr>
      <w:r>
        <w:t xml:space="preserve">Insurance Contribution (AOK):</w:t>
      </w:r>
      <w:r>
        <w:t xml:space="preserve"> </w:t>
      </w:r>
      <w:r>
        <w:t xml:space="preserve">-1,200.00 €</w:t>
      </w:r>
    </w:p>
    <w:p>
      <w:pPr>
        <w:pStyle w:val="BodyText"/>
      </w:pPr>
      <w:r>
        <w:t xml:space="preserve">Total Amount Due:</w:t>
      </w:r>
      <w:r>
        <w:t xml:space="preserve"> </w:t>
      </w:r>
      <w:r>
        <w:t xml:space="preserve">690.32 €</w:t>
      </w:r>
    </w:p>
    <w:bookmarkStart w:id="24" w:name="payment-terms-and-legal-information"/>
    <w:p>
      <w:pPr>
        <w:pStyle w:val="Heading4"/>
      </w:pPr>
      <w:r>
        <w:t xml:space="preserve">Payment Terms and Legal Information</w:t>
      </w:r>
    </w:p>
    <w:p>
      <w:pPr>
        <w:pStyle w:val="FirstParagraph"/>
      </w:pPr>
      <w:r>
        <w:rPr>
          <w:bCs/>
          <w:b/>
        </w:rPr>
        <w:t xml:space="preserve">Payment Method:</w:t>
      </w:r>
      <w:r>
        <w:t xml:space="preserve"> </w:t>
      </w:r>
      <w:r>
        <w:t xml:space="preserve">Please transfer the total amount due to our bank account within 30 days of the invoice date. Late payments may incur interest charges in accordance with German commercial law (BGB § 288).</w:t>
      </w:r>
    </w:p>
    <w:p>
      <w:pPr>
        <w:pStyle w:val="BodyText"/>
      </w:pPr>
      <w:r>
        <w:rPr>
          <w:bCs/>
          <w:b/>
        </w:rPr>
        <w:t xml:space="preserve">Bank Details:</w:t>
      </w:r>
    </w:p>
    <w:p>
      <w:pPr>
        <w:pStyle w:val="BodyText"/>
      </w:pPr>
      <w:r>
        <w:t xml:space="preserve">Bank: Berliner Sparkasse</w:t>
      </w:r>
      <w:r>
        <w:br/>
      </w:r>
      <w:r>
        <w:t xml:space="preserve">IBAN: DE89 1005 0000 1234 5678 90</w:t>
      </w:r>
      <w:r>
        <w:br/>
      </w:r>
      <w:r>
        <w:t xml:space="preserve">BIC: BELADEBEXXX</w:t>
      </w:r>
      <w:r>
        <w:br/>
      </w:r>
      <w:r>
        <w:t xml:space="preserve">Account Holder: Dr. Elena Weber Orthodontic Practice</w:t>
      </w:r>
    </w:p>
    <w:p>
      <w:pPr>
        <w:pStyle w:val="BodyText"/>
      </w:pPr>
      <w:r>
        <w:rPr>
          <w:bCs/>
          <w:b/>
        </w:rPr>
        <w:t xml:space="preserve">Insurance Note:</w:t>
      </w:r>
      <w:r>
        <w:t xml:space="preserve"> </w:t>
      </w:r>
      <w:r>
        <w:t xml:space="preserve">This invoice reflects the costs associated with the orthodontic treatment plan approved for the patient. The deduction represents the portion covered by the statutory health insurance (AOK Berlin). The remaining balance is the patient's private contribution (Zuzahlung) or the cost of services exceeding the standard insurance catalog.</w:t>
      </w:r>
    </w:p>
    <w:p>
      <w:pPr>
        <w:pStyle w:val="BodyText"/>
      </w:pPr>
      <w:r>
        <w:rPr>
          <w:bCs/>
          <w:b/>
        </w:rPr>
        <w:t xml:space="preserve">Data Protection:</w:t>
      </w:r>
      <w:r>
        <w:t xml:space="preserve"> </w:t>
      </w:r>
      <w:r>
        <w:t xml:space="preserve">In compliance with the General Data Protection Regulation (GDPR) applicable in Germany and the EU, your personal and medical data is processed solely for the purpose of treatment and billing. We ensure the highest standards of confidentiality.</w:t>
      </w:r>
    </w:p>
    <w:p>
      <w:pPr>
        <w:pStyle w:val="BodyText"/>
      </w:pPr>
      <w:r>
        <w:rPr>
          <w:bCs/>
          <w:b/>
        </w:rPr>
        <w:t xml:space="preserve">Orthodontic Care in Berlin:</w:t>
      </w:r>
      <w:r>
        <w:t xml:space="preserve"> </w:t>
      </w:r>
      <w:r>
        <w:t xml:space="preserve">Our practice adheres to the strict guidelines set by the German Association of Orthodontists (Deutsche Gesellschaft für Orthodontie und Kieferorthopädie). Regular attendance at appointments is vital for the success of the treatment. Please contact our office in Berlin immediately if you need to reschedule.</w:t>
      </w:r>
    </w:p>
    <w:bookmarkEnd w:id="24"/>
    <w:p>
      <w:pPr>
        <w:pStyle w:val="BodyText"/>
      </w:pPr>
      <w:r>
        <w:t xml:space="preserve">Thank you for choosing Dr. Elena Weber &amp; Associates for your orthodontic needs in Berlin, Germany.</w:t>
      </w:r>
    </w:p>
    <w:p>
      <w:pPr>
        <w:pStyle w:val="BodyText"/>
      </w:pPr>
      <w:r>
        <w:t xml:space="preserve">This is a computer-generated invoice and does not require a signature.</w:t>
      </w:r>
    </w:p>
    <w:p>
      <w:pPr>
        <w:pStyle w:val="BodyText"/>
      </w:pPr>
      <w:r>
        <w:t xml:space="preserve">[Official Stamp of the Practice]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Berlin, Germany</dc:title>
  <dc:creator/>
  <dc:language>en</dc:language>
  <cp:keywords/>
  <dcterms:created xsi:type="dcterms:W3CDTF">2026-10-10T06:42:21Z</dcterms:created>
  <dcterms:modified xsi:type="dcterms:W3CDTF">2026-10-10T06:42:21Z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