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sahara-energy-solutions"/>
    <w:p>
      <w:pPr>
        <w:pStyle w:val="Heading1"/>
      </w:pPr>
      <w:r>
        <w:t xml:space="preserve">Sahara Energy Solutions</w:t>
      </w:r>
    </w:p>
    <w:p>
      <w:pPr>
        <w:pStyle w:val="FirstParagraph"/>
      </w:pPr>
      <w:r>
        <w:t xml:space="preserve">Specialized Petroleum Engineering Consultancy</w:t>
      </w:r>
    </w:p>
    <w:p>
      <w:pPr>
        <w:pStyle w:val="BodyText"/>
      </w:pPr>
      <w:r>
        <w:t xml:space="preserve">123 Boulevard Mohamed V, Hydra</w:t>
      </w:r>
    </w:p>
    <w:p>
      <w:pPr>
        <w:pStyle w:val="BodyText"/>
      </w:pPr>
      <w:r>
        <w:t xml:space="preserve">Algiers, Algeria</w:t>
      </w:r>
    </w:p>
    <w:p>
      <w:pPr>
        <w:pStyle w:val="BodyText"/>
      </w:pPr>
      <w:r>
        <w:t xml:space="preserve">NIF: 000123456789012 | RC: 16/00-1234567 B 12</w:t>
      </w:r>
    </w:p>
    <w:p>
      <w:pPr>
        <w:pStyle w:val="BodyText"/>
      </w:pPr>
      <w:r>
        <w:t xml:space="preserve">TIN: 000123456789012</w:t>
      </w:r>
    </w:p>
    <w:p>
      <w:pPr>
        <w:pStyle w:val="BodyText"/>
      </w:pPr>
      <w:r>
        <w:t xml:space="preserve">Email: billing@sahara-energy.dz | Phone: +213 21 123 456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INV-2023-ALG-089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RES-ALG-2023-X</w:t>
      </w:r>
    </w:p>
    <w:bookmarkEnd w:id="21"/>
    <w:bookmarkStart w:id="22" w:name="billed-to-client"/>
    <w:p>
      <w:pPr>
        <w:pStyle w:val="Heading3"/>
      </w:pPr>
      <w:r>
        <w:t xml:space="preserve">Billed To (Client)</w:t>
      </w:r>
    </w:p>
    <w:p>
      <w:pPr>
        <w:pStyle w:val="FirstParagraph"/>
      </w:pPr>
      <w:r>
        <w:rPr>
          <w:bCs/>
          <w:b/>
        </w:rPr>
        <w:t xml:space="preserve">Algerian National Oil Company (Sonatrach)</w:t>
      </w:r>
    </w:p>
    <w:p>
      <w:pPr>
        <w:pStyle w:val="BodyText"/>
      </w:pPr>
      <w:r>
        <w:t xml:space="preserve">Exploration &amp; Production Division</w:t>
      </w:r>
    </w:p>
    <w:p>
      <w:pPr>
        <w:pStyle w:val="BodyText"/>
      </w:pPr>
      <w:r>
        <w:t xml:space="preserve">16 Rue des Frères Bouadou, Hydra</w:t>
      </w:r>
    </w:p>
    <w:p>
      <w:pPr>
        <w:pStyle w:val="BodyText"/>
      </w:pPr>
      <w:r>
        <w:t xml:space="preserve">Algiers, Algeria</w:t>
      </w:r>
    </w:p>
    <w:p>
      <w:pPr>
        <w:pStyle w:val="BodyText"/>
      </w:pPr>
      <w:r>
        <w:t xml:space="preserve">Contact: Procurement Department</w:t>
      </w:r>
    </w:p>
    <w:bookmarkEnd w:id="22"/>
    <w:bookmarkStart w:id="23" w:name="service-provider"/>
    <w:p>
      <w:pPr>
        <w:pStyle w:val="Heading3"/>
      </w:pPr>
      <w:r>
        <w:t xml:space="preserve">Service Provider</w:t>
      </w:r>
    </w:p>
    <w:p>
      <w:pPr>
        <w:pStyle w:val="FirstParagraph"/>
      </w:pPr>
      <w:r>
        <w:rPr>
          <w:bCs/>
          <w:b/>
        </w:rPr>
        <w:t xml:space="preserve">Sahara Energy Solutions</w:t>
      </w:r>
    </w:p>
    <w:p>
      <w:pPr>
        <w:pStyle w:val="BodyText"/>
      </w:pPr>
      <w:r>
        <w:t xml:space="preserve">Lead Petroleum Engineer: Dr. Karim Benali</w:t>
      </w:r>
    </w:p>
    <w:p>
      <w:pPr>
        <w:pStyle w:val="BodyText"/>
      </w:pPr>
      <w:r>
        <w:t xml:space="preserve">License No: PE-ALG-9988</w:t>
      </w:r>
    </w:p>
    <w:p>
      <w:pPr>
        <w:pStyle w:val="BodyText"/>
      </w:pPr>
      <w:r>
        <w:t xml:space="preserve">Registered in Algiers, Algeria</w:t>
      </w:r>
    </w:p>
    <w:bookmarkEnd w:id="23"/>
    <w:bookmarkStart w:id="24" w:name="project-overview-and-scope-of-work"/>
    <w:p>
      <w:pPr>
        <w:pStyle w:val="Heading3"/>
      </w:pPr>
      <w:r>
        <w:t xml:space="preserve">Project Overview and Scope of Work</w:t>
      </w:r>
    </w:p>
    <w:p>
      <w:pPr>
        <w:pStyle w:val="FirstParagraph"/>
      </w:pPr>
      <w:r>
        <w:t xml:space="preserve">This Invoice serves as a formal request for payment regarding the comprehensive petroleum engineering services rendered by Sahara Energy Solutions to the client in Algiers, Algeria. The scope of work was executed in strict accordance with the technical specifications outlined in the contract agreement dated September 1, 2023. The primary objective was to optimize reservoir performance and enhance recovery rates for the designated offshore block located within Algerian territorial waters.</w:t>
      </w:r>
    </w:p>
    <w:p>
      <w:pPr>
        <w:pStyle w:val="BodyText"/>
      </w:pPr>
      <w:r>
        <w:t xml:space="preserve">As a specialized Petroleum Engineer firm operating within the regulatory framework of Algeria, our team conducted a rigorous analysis of subsurface data. This included the interpretation of seismic data, well logs, and production history to develop a robust reservoir simulation model. The engineering solutions proposed were tailored to the specific geological challenges found in the Algerian basin, ensuring compliance with local environmental standards and operational safety protocols mandated by the Algerian Ministry of Energy and Mines.</w:t>
      </w:r>
    </w:p>
    <w:p>
      <w:pPr>
        <w:pStyle w:val="BodyText"/>
      </w:pPr>
      <w:r>
        <w:t xml:space="preserve">The services provided encompassed reservoir characterization, decline curve analysis, and the design of an enhanced oil recovery (EOR) strategy. Furthermore, the team provided on-site technical supervision in Algiers to ensure the seamless integration of the proposed engineering models with existing infrastructure. This Invoice details the breakdown of professional fees, technical analysis costs, and site supervision hours dedicated to this critical energy project in Algeria.</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Reservoir Simulation and Modeling</w:t>
            </w:r>
            <w:r>
              <w:br/>
            </w:r>
            <w:r>
              <w:t xml:space="preserve">Development of 3D static and dynamic models for the target field in Algeria. Includes grid generation, fluid property definition, and history matching of production data to predict future performance.</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2</w:t>
            </w:r>
          </w:p>
        </w:tc>
        <w:tc>
          <w:tcPr/>
          <w:p>
            <w:pPr>
              <w:pStyle w:val="Compact"/>
              <w:jc w:val="left"/>
            </w:pPr>
            <w:r>
              <w:rPr>
                <w:bCs/>
                <w:b/>
              </w:rPr>
              <w:t xml:space="preserve">Well Performance Analysis</w:t>
            </w:r>
            <w:r>
              <w:br/>
            </w:r>
            <w:r>
              <w:t xml:space="preserve">Detailed analysis of 15 producing wells. Includes nodal analysis, artificial lift optimization, and identification of near-wellbore damage mechanisms specific to the Algerian reservoir conditions.</w:t>
            </w:r>
          </w:p>
        </w:tc>
        <w:tc>
          <w:tcPr/>
          <w:p>
            <w:pPr>
              <w:pStyle w:val="Compact"/>
              <w:jc w:val="left"/>
            </w:pPr>
            <w:r>
              <w:t xml:space="preserve">15</w:t>
            </w:r>
          </w:p>
        </w:tc>
        <w:tc>
          <w:tcPr/>
          <w:p>
            <w:pPr>
              <w:pStyle w:val="Compact"/>
              <w:jc w:val="left"/>
            </w:pPr>
            <w:r>
              <w:t xml:space="preserve">150,000.00</w:t>
            </w:r>
          </w:p>
        </w:tc>
        <w:tc>
          <w:tcPr/>
          <w:p>
            <w:pPr>
              <w:pStyle w:val="Compact"/>
              <w:jc w:val="left"/>
            </w:pPr>
            <w:r>
              <w:t xml:space="preserve">2,250,000.00</w:t>
            </w:r>
          </w:p>
        </w:tc>
      </w:tr>
      <w:tr>
        <w:tc>
          <w:tcPr/>
          <w:p>
            <w:pPr>
              <w:pStyle w:val="Compact"/>
              <w:jc w:val="left"/>
            </w:pPr>
            <w:r>
              <w:t xml:space="preserve">3</w:t>
            </w:r>
          </w:p>
        </w:tc>
        <w:tc>
          <w:tcPr/>
          <w:p>
            <w:pPr>
              <w:pStyle w:val="Compact"/>
              <w:jc w:val="left"/>
            </w:pPr>
            <w:r>
              <w:rPr>
                <w:bCs/>
                <w:b/>
              </w:rPr>
              <w:t xml:space="preserve">Enhanced Oil Recovery (EOR) Study</w:t>
            </w:r>
            <w:r>
              <w:br/>
            </w:r>
            <w:r>
              <w:t xml:space="preserve">Technical feasibility study for gas injection and chemical flooding. Evaluation of economic viability and technical risks associated with implementing EOR techniques in the specified block.</w:t>
            </w:r>
          </w:p>
        </w:tc>
        <w:tc>
          <w:tcPr/>
          <w:p>
            <w:pPr>
              <w:pStyle w:val="Compact"/>
              <w:jc w:val="left"/>
            </w:pPr>
            <w:r>
              <w:t xml:space="preserve">1</w:t>
            </w:r>
          </w:p>
        </w:tc>
        <w:tc>
          <w:tcPr/>
          <w:p>
            <w:pPr>
              <w:pStyle w:val="Compact"/>
              <w:jc w:val="left"/>
            </w:pPr>
            <w:r>
              <w:t xml:space="preserve">3,000,000.00</w:t>
            </w:r>
          </w:p>
        </w:tc>
        <w:tc>
          <w:tcPr/>
          <w:p>
            <w:pPr>
              <w:pStyle w:val="Compact"/>
              <w:jc w:val="left"/>
            </w:pPr>
            <w:r>
              <w:t xml:space="preserve">3,000,000.00</w:t>
            </w:r>
          </w:p>
        </w:tc>
      </w:tr>
      <w:tr>
        <w:tc>
          <w:tcPr/>
          <w:p>
            <w:pPr>
              <w:pStyle w:val="Compact"/>
              <w:jc w:val="left"/>
            </w:pPr>
            <w:r>
              <w:t xml:space="preserve">4</w:t>
            </w:r>
          </w:p>
        </w:tc>
        <w:tc>
          <w:tcPr/>
          <w:p>
            <w:pPr>
              <w:pStyle w:val="Compact"/>
              <w:jc w:val="left"/>
            </w:pPr>
            <w:r>
              <w:rPr>
                <w:bCs/>
                <w:b/>
              </w:rPr>
              <w:t xml:space="preserve">On-Site Engineering Supervision</w:t>
            </w:r>
            <w:r>
              <w:br/>
            </w:r>
            <w:r>
              <w:t xml:space="preserve">Deployment of senior Petroleum Engineers to the client's facility in Algiers for 20 days. Includes daily reporting, technical meetings, and real-time troubleshooting of drilling and completion operations.</w:t>
            </w:r>
          </w:p>
        </w:tc>
        <w:tc>
          <w:tcPr/>
          <w:p>
            <w:pPr>
              <w:pStyle w:val="Compact"/>
              <w:jc w:val="left"/>
            </w:pPr>
            <w:r>
              <w:t xml:space="preserve">20</w:t>
            </w:r>
          </w:p>
        </w:tc>
        <w:tc>
          <w:tcPr/>
          <w:p>
            <w:pPr>
              <w:pStyle w:val="Compact"/>
              <w:jc w:val="left"/>
            </w:pPr>
            <w:r>
              <w:t xml:space="preserve">120,000.00</w:t>
            </w:r>
          </w:p>
        </w:tc>
        <w:tc>
          <w:tcPr/>
          <w:p>
            <w:pPr>
              <w:pStyle w:val="Compact"/>
              <w:jc w:val="left"/>
            </w:pPr>
            <w:r>
              <w:t xml:space="preserve">2,400,000.00</w:t>
            </w:r>
          </w:p>
        </w:tc>
      </w:tr>
      <w:tr>
        <w:tc>
          <w:tcPr/>
          <w:p>
            <w:pPr>
              <w:pStyle w:val="Compact"/>
              <w:jc w:val="left"/>
            </w:pPr>
            <w:r>
              <w:t xml:space="preserve">5</w:t>
            </w:r>
          </w:p>
        </w:tc>
        <w:tc>
          <w:tcPr/>
          <w:p>
            <w:pPr>
              <w:pStyle w:val="Compact"/>
              <w:jc w:val="left"/>
            </w:pPr>
            <w:r>
              <w:rPr>
                <w:bCs/>
                <w:b/>
              </w:rPr>
              <w:t xml:space="preserve">Regulatory Compliance Reporting</w:t>
            </w:r>
            <w:r>
              <w:br/>
            </w:r>
            <w:r>
              <w:t xml:space="preserve">Preparation of technical dossiers and environmental impact assessments required by Algerian authorities for the proposed development plan.</w:t>
            </w:r>
          </w:p>
        </w:tc>
        <w:tc>
          <w:tcPr/>
          <w:p>
            <w:pPr>
              <w:pStyle w:val="Compact"/>
              <w:jc w:val="left"/>
            </w:pPr>
            <w:r>
              <w:t xml:space="preserve">1</w:t>
            </w:r>
          </w:p>
        </w:tc>
        <w:tc>
          <w:tcPr/>
          <w:p>
            <w:pPr>
              <w:pStyle w:val="Compact"/>
              <w:jc w:val="left"/>
            </w:pPr>
            <w:r>
              <w:t xml:space="preserve">800,000.00</w:t>
            </w:r>
          </w:p>
        </w:tc>
        <w:tc>
          <w:tcPr/>
          <w:p>
            <w:pPr>
              <w:pStyle w:val="Compact"/>
              <w:jc w:val="left"/>
            </w:pPr>
            <w:r>
              <w:t xml:space="preserve">800,000.00</w:t>
            </w:r>
          </w:p>
        </w:tc>
      </w:tr>
    </w:tbl>
    <w:p>
      <w:pPr>
        <w:pStyle w:val="BodyText"/>
      </w:pPr>
      <w:r>
        <w:t xml:space="preserve">Subtotal:</w:t>
      </w:r>
      <w:r>
        <w:t xml:space="preserve"> </w:t>
      </w:r>
      <w:r>
        <w:t xml:space="preserve">12,950,000.00 DZD</w:t>
      </w:r>
    </w:p>
    <w:p>
      <w:pPr>
        <w:pStyle w:val="BodyText"/>
      </w:pPr>
      <w:r>
        <w:t xml:space="preserve">VAT (19%):</w:t>
      </w:r>
      <w:r>
        <w:t xml:space="preserve"> </w:t>
      </w:r>
      <w:r>
        <w:t xml:space="preserve">2,460,500.00 DZD</w:t>
      </w:r>
    </w:p>
    <w:p>
      <w:pPr>
        <w:pStyle w:val="BodyText"/>
      </w:pPr>
      <w:r>
        <w:t xml:space="preserve">Withholding Tax (10%):</w:t>
      </w:r>
      <w:r>
        <w:t xml:space="preserve"> </w:t>
      </w:r>
      <w:r>
        <w:t xml:space="preserve">-1,295,000.00 DZD</w:t>
      </w:r>
    </w:p>
    <w:p>
      <w:pPr>
        <w:pStyle w:val="BodyText"/>
      </w:pPr>
      <w:r>
        <w:t xml:space="preserve">Total Amount Due:</w:t>
      </w:r>
      <w:r>
        <w:t xml:space="preserve"> </w:t>
      </w:r>
      <w:r>
        <w:t xml:space="preserve">14,115,500.00 DZD</w:t>
      </w:r>
    </w:p>
    <w:bookmarkStart w:id="25" w:name="payment-terms-and-banking-information"/>
    <w:p>
      <w:pPr>
        <w:pStyle w:val="Heading3"/>
      </w:pPr>
      <w:r>
        <w:t xml:space="preserve">Payment Terms and Banking Information</w:t>
      </w:r>
    </w:p>
    <w:p>
      <w:pPr>
        <w:pStyle w:val="FirstParagraph"/>
      </w:pPr>
      <w:r>
        <w:rPr>
          <w:bCs/>
          <w:b/>
        </w:rPr>
        <w:t xml:space="preserve">Payment Method:</w:t>
      </w:r>
      <w:r>
        <w:t xml:space="preserve"> </w:t>
      </w:r>
      <w:r>
        <w:t xml:space="preserve">Bank Transfer</w:t>
      </w:r>
    </w:p>
    <w:p>
      <w:pPr>
        <w:pStyle w:val="BodyText"/>
      </w:pPr>
      <w:r>
        <w:rPr>
          <w:bCs/>
          <w:b/>
        </w:rPr>
        <w:t xml:space="preserve">Bank Name:</w:t>
      </w:r>
      <w:r>
        <w:t xml:space="preserve"> </w:t>
      </w:r>
      <w:r>
        <w:t xml:space="preserve">Banque Nationale d'Algérie (BNA)</w:t>
      </w:r>
    </w:p>
    <w:p>
      <w:pPr>
        <w:pStyle w:val="BodyText"/>
      </w:pPr>
      <w:r>
        <w:rPr>
          <w:bCs/>
          <w:b/>
        </w:rPr>
        <w:t xml:space="preserve">Branch:</w:t>
      </w:r>
      <w:r>
        <w:t xml:space="preserve"> </w:t>
      </w:r>
      <w:r>
        <w:t xml:space="preserve">Hydra, Algiers</w:t>
      </w:r>
    </w:p>
    <w:p>
      <w:pPr>
        <w:pStyle w:val="BodyText"/>
      </w:pPr>
      <w:r>
        <w:rPr>
          <w:bCs/>
          <w:b/>
        </w:rPr>
        <w:t xml:space="preserve">Account Name:</w:t>
      </w:r>
      <w:r>
        <w:t xml:space="preserve"> </w:t>
      </w:r>
      <w:r>
        <w:t xml:space="preserve">Sahara Energy Solutions</w:t>
      </w:r>
    </w:p>
    <w:p>
      <w:pPr>
        <w:pStyle w:val="BodyText"/>
      </w:pPr>
      <w:r>
        <w:rPr>
          <w:bCs/>
          <w:b/>
        </w:rPr>
        <w:t xml:space="preserve">Account Number:</w:t>
      </w:r>
      <w:r>
        <w:t xml:space="preserve"> </w:t>
      </w:r>
      <w:r>
        <w:t xml:space="preserve">0001234567890123456</w:t>
      </w:r>
    </w:p>
    <w:p>
      <w:pPr>
        <w:pStyle w:val="BodyText"/>
      </w:pPr>
      <w:r>
        <w:rPr>
          <w:bCs/>
          <w:b/>
        </w:rPr>
        <w:t xml:space="preserve">SWIFT/BIC:</w:t>
      </w:r>
      <w:r>
        <w:t xml:space="preserve"> </w:t>
      </w:r>
      <w:r>
        <w:t xml:space="preserve">BNAEDZAA</w:t>
      </w:r>
    </w:p>
    <w:p>
      <w:pPr>
        <w:pStyle w:val="BodyText"/>
      </w:pPr>
      <w:r>
        <w:rPr>
          <w:bCs/>
          <w:b/>
        </w:rPr>
        <w:t xml:space="preserve">Currency:</w:t>
      </w:r>
      <w:r>
        <w:t xml:space="preserve"> </w:t>
      </w:r>
      <w:r>
        <w:t xml:space="preserve">Algerian Dinar (DZD)</w:t>
      </w:r>
    </w:p>
    <w:p>
      <w:pPr>
        <w:pStyle w:val="BodyText"/>
      </w:pPr>
      <w:r>
        <w:rPr>
          <w:bCs/>
          <w:b/>
        </w:rPr>
        <w:t xml:space="preserve">Terms:</w:t>
      </w:r>
      <w:r>
        <w:t xml:space="preserve"> </w:t>
      </w:r>
      <w:r>
        <w:t xml:space="preserve">Payment is due within 30 days from the date of this Invoice. Late payments may be subject to a penalty interest rate of 1.5% per month as per Algerian commercial law.</w:t>
      </w:r>
    </w:p>
    <w:bookmarkEnd w:id="25"/>
    <w:p>
      <w:pPr>
        <w:pStyle w:val="BodyText"/>
      </w:pPr>
      <w:r>
        <w:t xml:space="preserve">Authorized Signature</w:t>
      </w:r>
    </w:p>
    <w:p>
      <w:pPr>
        <w:pStyle w:val="BodyText"/>
      </w:pPr>
      <w:r>
        <w:t xml:space="preserve">Dr. Karim Benali</w:t>
      </w:r>
      <w:r>
        <w:br/>
      </w:r>
      <w:r>
        <w:t xml:space="preserve">Chief Petroleum Engineer</w:t>
      </w:r>
      <w:r>
        <w:br/>
      </w:r>
      <w:r>
        <w:t xml:space="preserve">Sahara Energy Solutions</w:t>
      </w:r>
    </w:p>
    <w:p>
      <w:pPr>
        <w:pStyle w:val="BodyText"/>
      </w:pPr>
      <w:r>
        <w:t xml:space="preserve">This Invoice is a computer-generated document and does not require a physical signature to be valid.</w:t>
      </w:r>
      <w:r>
        <w:t xml:space="preserve"> </w:t>
      </w:r>
      <w:r>
        <w:t xml:space="preserve">Sahara Energy Solutions is a registered entity in Algiers, Algeria, specializing in upstream petroleum engineering services.</w:t>
      </w:r>
      <w:r>
        <w:t xml:space="preserve"> </w:t>
      </w:r>
      <w:r>
        <w:t xml:space="preserve">All calculations are performed in accordance with the Algerian tax code.</w:t>
      </w:r>
      <w:r>
        <w:t xml:space="preserve"> </w:t>
      </w:r>
      <w:r>
        <w:t xml:space="preserve">For any discrepancies or queries regarding this Invoice, please contact our finance department immediately.</w:t>
      </w:r>
    </w:p>
    <w:p>
      <w:pPr>
        <w:pStyle w:val="BodyText"/>
      </w:pPr>
      <w:r>
        <w:t xml:space="preserve">© 2023 Sahara Energy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2026-10-10T02:11:30Z</dcterms:created>
  <dcterms:modified xsi:type="dcterms:W3CDTF">2026-10-10T02:11:30Z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