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Services</w:t>
      </w:r>
      <w:r>
        <w:t xml:space="preserve"> </w:t>
      </w:r>
      <w:r>
        <w:t xml:space="preserve">Invoice</w:t>
      </w:r>
      <w:r>
        <w:t xml:space="preserve"> </w:t>
      </w:r>
      <w:r>
        <w:t xml:space="preserve">-</w:t>
      </w:r>
      <w:r>
        <w:t xml:space="preserve"> </w:t>
      </w:r>
      <w:r>
        <w:t xml:space="preserve">Petroleum</w:t>
      </w:r>
      <w:r>
        <w:t xml:space="preserve"> </w:t>
      </w:r>
      <w:r>
        <w:t xml:space="preserve">Engineering</w:t>
      </w:r>
    </w:p>
    <w:bookmarkStart w:id="20" w:name="apex-petroleum-solutions"/>
    <w:p>
      <w:pPr>
        <w:pStyle w:val="Heading1"/>
      </w:pPr>
      <w:r>
        <w:t xml:space="preserve">Apex Petroleum Solutions</w:t>
      </w:r>
    </w:p>
    <w:p>
      <w:pPr>
        <w:pStyle w:val="FirstParagraph"/>
      </w:pPr>
      <w:r>
        <w:t xml:space="preserve">ABN: 12 345 678 901</w:t>
      </w:r>
    </w:p>
    <w:p>
      <w:pPr>
        <w:pStyle w:val="BodyText"/>
      </w:pPr>
      <w:r>
        <w:t xml:space="preserve">Level 14, 123 Collins Street</w:t>
      </w:r>
    </w:p>
    <w:p>
      <w:pPr>
        <w:pStyle w:val="BodyText"/>
      </w:pPr>
      <w:r>
        <w:t xml:space="preserve">Melbourne, VIC 3000</w:t>
      </w:r>
    </w:p>
    <w:p>
      <w:pPr>
        <w:pStyle w:val="BodyText"/>
      </w:pPr>
      <w:r>
        <w:t xml:space="preserve">Australia</w:t>
      </w:r>
    </w:p>
    <w:p>
      <w:pPr>
        <w:pStyle w:val="BodyText"/>
      </w:pPr>
      <w:r>
        <w:t xml:space="preserve">Email: accounts@apexpetroleum.com.au</w:t>
      </w:r>
    </w:p>
    <w:p>
      <w:pPr>
        <w:pStyle w:val="BodyText"/>
      </w:pPr>
      <w:r>
        <w:t xml:space="preserve">Phone: +61 3 9000 0000</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Issued:</w:t>
      </w:r>
      <w:r>
        <w:t xml:space="preserve"> </w:t>
      </w:r>
      <w:r>
        <w:t xml:space="preserve">24 October 2023</w:t>
      </w:r>
    </w:p>
    <w:p>
      <w:pPr>
        <w:pStyle w:val="BodyText"/>
      </w:pPr>
      <w:r>
        <w:rPr>
          <w:bCs/>
          <w:b/>
        </w:rPr>
        <w:t xml:space="preserve">Due Date:</w:t>
      </w:r>
      <w:r>
        <w:t xml:space="preserve"> </w:t>
      </w:r>
      <w:r>
        <w:t xml:space="preserve">24 November 2023</w:t>
      </w:r>
    </w:p>
    <w:p>
      <w:pPr>
        <w:pStyle w:val="BodyText"/>
      </w:pPr>
      <w:r>
        <w:rPr>
          <w:bCs/>
          <w:b/>
        </w:rPr>
        <w:t xml:space="preserve">Reference:</w:t>
      </w:r>
      <w:r>
        <w:t xml:space="preserve"> </w:t>
      </w:r>
      <w:r>
        <w:t xml:space="preserve">MEL-RES-2023-Q4</w:t>
      </w:r>
    </w:p>
    <w:bookmarkEnd w:id="21"/>
    <w:bookmarkStart w:id="22" w:name="bill-to"/>
    <w:p>
      <w:pPr>
        <w:pStyle w:val="Heading3"/>
      </w:pPr>
      <w:r>
        <w:t xml:space="preserve">Bill To:</w:t>
      </w:r>
    </w:p>
    <w:p>
      <w:pPr>
        <w:pStyle w:val="FirstParagraph"/>
      </w:pPr>
      <w:r>
        <w:rPr>
          <w:bCs/>
          <w:b/>
        </w:rPr>
        <w:t xml:space="preserve">Victorian Energy Resources Ltd.</w:t>
      </w:r>
    </w:p>
    <w:p>
      <w:pPr>
        <w:pStyle w:val="BodyText"/>
      </w:pPr>
      <w:r>
        <w:t xml:space="preserve">Attn: Procurement Department</w:t>
      </w:r>
    </w:p>
    <w:p>
      <w:pPr>
        <w:pStyle w:val="BodyText"/>
      </w:pPr>
      <w:r>
        <w:t xml:space="preserve">450 Lonsdale Street</w:t>
      </w:r>
    </w:p>
    <w:p>
      <w:pPr>
        <w:pStyle w:val="BodyText"/>
      </w:pPr>
      <w:r>
        <w:t xml:space="preserve">Melbourne, VIC 3000</w:t>
      </w:r>
    </w:p>
    <w:p>
      <w:pPr>
        <w:pStyle w:val="BodyText"/>
      </w:pPr>
      <w:r>
        <w:t xml:space="preserve">Australia</w:t>
      </w:r>
    </w:p>
    <w:bookmarkEnd w:id="22"/>
    <w:bookmarkStart w:id="23" w:name="project-details"/>
    <w:p>
      <w:pPr>
        <w:pStyle w:val="Heading3"/>
      </w:pPr>
      <w:r>
        <w:t xml:space="preserve">Project Details:</w:t>
      </w:r>
    </w:p>
    <w:p>
      <w:pPr>
        <w:pStyle w:val="FirstParagraph"/>
      </w:pPr>
      <w:r>
        <w:rPr>
          <w:bCs/>
          <w:b/>
        </w:rPr>
        <w:t xml:space="preserve">Project Name:</w:t>
      </w:r>
      <w:r>
        <w:t xml:space="preserve"> </w:t>
      </w:r>
      <w:r>
        <w:t xml:space="preserve">Otway Basin Reservoir Optimization</w:t>
      </w:r>
    </w:p>
    <w:p>
      <w:pPr>
        <w:pStyle w:val="BodyText"/>
      </w:pPr>
      <w:r>
        <w:rPr>
          <w:bCs/>
          <w:b/>
        </w:rPr>
        <w:t xml:space="preserve">Location:</w:t>
      </w:r>
      <w:r>
        <w:t xml:space="preserve"> </w:t>
      </w:r>
      <w:r>
        <w:t xml:space="preserve">Offshore Victoria / Onshore Melbourne HQ</w:t>
      </w:r>
    </w:p>
    <w:p>
      <w:pPr>
        <w:pStyle w:val="BodyText"/>
      </w:pPr>
      <w:r>
        <w:rPr>
          <w:bCs/>
          <w:b/>
        </w:rPr>
        <w:t xml:space="preserve">Service Period:</w:t>
      </w:r>
      <w:r>
        <w:t xml:space="preserve"> </w:t>
      </w:r>
      <w:r>
        <w:t xml:space="preserve">01 Oct 2023 - 31 Oct 2023</w:t>
      </w:r>
    </w:p>
    <w:p>
      <w:pPr>
        <w:pStyle w:val="BodyText"/>
      </w:pPr>
      <w:r>
        <w:rPr>
          <w:bCs/>
          <w:b/>
        </w:rPr>
        <w:t xml:space="preserve">Contract Ref:</w:t>
      </w:r>
      <w:r>
        <w:t xml:space="preserve"> </w:t>
      </w:r>
      <w:r>
        <w:t xml:space="preserve">PET-ENG-2023-AUS</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1</w:t>
            </w:r>
          </w:p>
        </w:tc>
        <w:tc>
          <w:tcPr/>
          <w:p>
            <w:pPr>
              <w:pStyle w:val="Compact"/>
              <w:jc w:val="left"/>
            </w:pPr>
            <w:r>
              <w:rPr>
                <w:bCs/>
                <w:b/>
              </w:rPr>
              <w:t xml:space="preserve">Reservoir Simulation &amp; Modelling</w:t>
            </w:r>
            <w:r>
              <w:br/>
            </w:r>
            <w:r>
              <w:t xml:space="preserve">Comprehensive reservoir simulation analysis for the Otway Basin sector. This includes history matching of production data, calibration of static models, and dynamic forecasting to optimize recovery strategies. Conducted by Senior Petroleum Engineer utilizing industry-standard software (Eclipse/CMG).</w:t>
            </w:r>
          </w:p>
        </w:tc>
        <w:tc>
          <w:tcPr/>
          <w:p>
            <w:pPr>
              <w:pStyle w:val="Compact"/>
              <w:jc w:val="left"/>
            </w:pPr>
            <w:r>
              <w:t xml:space="preserve">40.0</w:t>
            </w:r>
          </w:p>
        </w:tc>
        <w:tc>
          <w:tcPr/>
          <w:p>
            <w:pPr>
              <w:pStyle w:val="Compact"/>
              <w:jc w:val="left"/>
            </w:pPr>
            <w:r>
              <w:t xml:space="preserve">350.00</w:t>
            </w:r>
          </w:p>
        </w:tc>
        <w:tc>
          <w:tcPr/>
          <w:p>
            <w:pPr>
              <w:pStyle w:val="Compact"/>
              <w:jc w:val="left"/>
            </w:pPr>
            <w:r>
              <w:t xml:space="preserve">14,000.00</w:t>
            </w:r>
          </w:p>
        </w:tc>
      </w:tr>
      <w:tr>
        <w:tc>
          <w:tcPr/>
          <w:p>
            <w:pPr>
              <w:pStyle w:val="Compact"/>
              <w:jc w:val="left"/>
            </w:pPr>
            <w:r>
              <w:t xml:space="preserve">2</w:t>
            </w:r>
          </w:p>
        </w:tc>
        <w:tc>
          <w:tcPr/>
          <w:p>
            <w:pPr>
              <w:pStyle w:val="Compact"/>
              <w:jc w:val="left"/>
            </w:pPr>
            <w:r>
              <w:rPr>
                <w:bCs/>
                <w:b/>
              </w:rPr>
              <w:t xml:space="preserve">Well Performance Analysis</w:t>
            </w:r>
            <w:r>
              <w:br/>
            </w:r>
            <w:r>
              <w:t xml:space="preserve">Detailed analysis of well test data and production logs for Wells A-12 and B-05. Evaluation of skin factors, permeability anisotropy, and inflow performance relationships (IPR) to identify bottlenecks in current extraction efficiency within the Australian offshore context.</w:t>
            </w:r>
          </w:p>
        </w:tc>
        <w:tc>
          <w:tcPr/>
          <w:p>
            <w:pPr>
              <w:pStyle w:val="Compact"/>
              <w:jc w:val="left"/>
            </w:pPr>
            <w:r>
              <w:t xml:space="preserve">25.0</w:t>
            </w:r>
          </w:p>
        </w:tc>
        <w:tc>
          <w:tcPr/>
          <w:p>
            <w:pPr>
              <w:pStyle w:val="Compact"/>
              <w:jc w:val="left"/>
            </w:pPr>
            <w:r>
              <w:t xml:space="preserve">350.00</w:t>
            </w:r>
          </w:p>
        </w:tc>
        <w:tc>
          <w:tcPr/>
          <w:p>
            <w:pPr>
              <w:pStyle w:val="Compact"/>
              <w:jc w:val="left"/>
            </w:pPr>
            <w:r>
              <w:t xml:space="preserve">8,750.00</w:t>
            </w:r>
          </w:p>
        </w:tc>
      </w:tr>
      <w:tr>
        <w:tc>
          <w:tcPr/>
          <w:p>
            <w:pPr>
              <w:pStyle w:val="Compact"/>
              <w:jc w:val="left"/>
            </w:pPr>
            <w:r>
              <w:t xml:space="preserve">3</w:t>
            </w:r>
          </w:p>
        </w:tc>
        <w:tc>
          <w:tcPr/>
          <w:p>
            <w:pPr>
              <w:pStyle w:val="Compact"/>
              <w:jc w:val="left"/>
            </w:pPr>
            <w:r>
              <w:rPr>
                <w:bCs/>
                <w:b/>
              </w:rPr>
              <w:t xml:space="preserve">Enhanced Oil Recovery (EOR) Feasibility Study</w:t>
            </w:r>
            <w:r>
              <w:br/>
            </w:r>
            <w:r>
              <w:t xml:space="preserve">Technical assessment of potential EOR methods, specifically CO2 injection and chemical flooding, tailored to the geological constraints of the Victorian basin. Includes economic modeling and risk assessment aligned with Australian regulatory standards.</w:t>
            </w:r>
          </w:p>
        </w:tc>
        <w:tc>
          <w:tcPr/>
          <w:p>
            <w:pPr>
              <w:pStyle w:val="Compact"/>
              <w:jc w:val="left"/>
            </w:pPr>
            <w:r>
              <w:t xml:space="preserve">15.0</w:t>
            </w:r>
          </w:p>
        </w:tc>
        <w:tc>
          <w:tcPr/>
          <w:p>
            <w:pPr>
              <w:pStyle w:val="Compact"/>
              <w:jc w:val="left"/>
            </w:pPr>
            <w:r>
              <w:t xml:space="preserve">350.00</w:t>
            </w:r>
          </w:p>
        </w:tc>
        <w:tc>
          <w:tcPr/>
          <w:p>
            <w:pPr>
              <w:pStyle w:val="Compact"/>
              <w:jc w:val="left"/>
            </w:pPr>
            <w:r>
              <w:t xml:space="preserve">5,250.00</w:t>
            </w:r>
          </w:p>
        </w:tc>
      </w:tr>
      <w:tr>
        <w:tc>
          <w:tcPr/>
          <w:p>
            <w:pPr>
              <w:pStyle w:val="Compact"/>
              <w:jc w:val="left"/>
            </w:pPr>
            <w:r>
              <w:t xml:space="preserve">4</w:t>
            </w:r>
          </w:p>
        </w:tc>
        <w:tc>
          <w:tcPr/>
          <w:p>
            <w:pPr>
              <w:pStyle w:val="Compact"/>
              <w:jc w:val="left"/>
            </w:pPr>
            <w:r>
              <w:rPr>
                <w:bCs/>
                <w:b/>
              </w:rPr>
              <w:t xml:space="preserve">Regulatory Compliance Reporting</w:t>
            </w:r>
            <w:r>
              <w:br/>
            </w:r>
            <w:r>
              <w:t xml:space="preserve">Preparation of technical documentation required for the Department of Energy, Environment and Climate Action (DEECA). Ensuring all engineering practices meet the Petroleum (Submerged Lands) Act 1982 and local Melbourne environmental guidelines.</w:t>
            </w:r>
          </w:p>
        </w:tc>
        <w:tc>
          <w:tcPr/>
          <w:p>
            <w:pPr>
              <w:pStyle w:val="Compact"/>
              <w:jc w:val="left"/>
            </w:pPr>
            <w:r>
              <w:t xml:space="preserve">10.0</w:t>
            </w:r>
          </w:p>
        </w:tc>
        <w:tc>
          <w:tcPr/>
          <w:p>
            <w:pPr>
              <w:pStyle w:val="Compact"/>
              <w:jc w:val="left"/>
            </w:pPr>
            <w:r>
              <w:t xml:space="preserve">300.00</w:t>
            </w:r>
          </w:p>
        </w:tc>
        <w:tc>
          <w:tcPr/>
          <w:p>
            <w:pPr>
              <w:pStyle w:val="Compact"/>
              <w:jc w:val="left"/>
            </w:pPr>
            <w:r>
              <w:t xml:space="preserve">3,000.00</w:t>
            </w:r>
          </w:p>
        </w:tc>
      </w:tr>
      <w:tr>
        <w:tc>
          <w:tcPr/>
          <w:p>
            <w:pPr>
              <w:pStyle w:val="Compact"/>
              <w:jc w:val="left"/>
            </w:pPr>
            <w:r>
              <w:t xml:space="preserve">5</w:t>
            </w:r>
          </w:p>
        </w:tc>
        <w:tc>
          <w:tcPr/>
          <w:p>
            <w:pPr>
              <w:pStyle w:val="Compact"/>
              <w:jc w:val="left"/>
            </w:pPr>
            <w:r>
              <w:rPr>
                <w:bCs/>
                <w:b/>
              </w:rPr>
              <w:t xml:space="preserve">Site Consultation &amp; Stakeholder Meeting</w:t>
            </w:r>
            <w:r>
              <w:br/>
            </w:r>
            <w:r>
              <w:t xml:space="preserve">On-site consultation at the Melbourne headquarters to present findings, discuss operational adjustments, and align engineering recommendations with the client's strategic goals for the upcoming fiscal quarter.</w:t>
            </w:r>
          </w:p>
        </w:tc>
        <w:tc>
          <w:tcPr/>
          <w:p>
            <w:pPr>
              <w:pStyle w:val="Compact"/>
              <w:jc w:val="left"/>
            </w:pPr>
            <w:r>
              <w:t xml:space="preserve">4.0</w:t>
            </w:r>
          </w:p>
        </w:tc>
        <w:tc>
          <w:tcPr/>
          <w:p>
            <w:pPr>
              <w:pStyle w:val="Compact"/>
              <w:jc w:val="left"/>
            </w:pPr>
            <w:r>
              <w:t xml:space="preserve">300.00</w:t>
            </w:r>
          </w:p>
        </w:tc>
        <w:tc>
          <w:tcPr/>
          <w:p>
            <w:pPr>
              <w:pStyle w:val="Compact"/>
              <w:jc w:val="left"/>
            </w:pPr>
            <w:r>
              <w:t xml:space="preserve">1,200.00</w:t>
            </w:r>
          </w:p>
        </w:tc>
      </w:tr>
    </w:tbl>
    <w:p>
      <w:pPr>
        <w:pStyle w:val="BodyText"/>
      </w:pPr>
      <w:r>
        <w:t xml:space="preserve">Subtotal:</w:t>
      </w:r>
      <w:r>
        <w:t xml:space="preserve"> </w:t>
      </w:r>
      <w:r>
        <w:t xml:space="preserve">$32,200.00</w:t>
      </w:r>
    </w:p>
    <w:p>
      <w:pPr>
        <w:pStyle w:val="BodyText"/>
      </w:pPr>
      <w:r>
        <w:t xml:space="preserve">GST (10%):</w:t>
      </w:r>
      <w:r>
        <w:t xml:space="preserve"> </w:t>
      </w:r>
      <w:r>
        <w:t xml:space="preserve">$3,220.00</w:t>
      </w:r>
    </w:p>
    <w:p>
      <w:pPr>
        <w:pStyle w:val="BodyText"/>
      </w:pPr>
      <w:r>
        <w:t xml:space="preserve">TOTAL DUE (AUD):</w:t>
      </w:r>
      <w:r>
        <w:t xml:space="preserve"> </w:t>
      </w:r>
      <w:r>
        <w:t xml:space="preserve">$35,420.00</w:t>
      </w:r>
    </w:p>
    <w:bookmarkStart w:id="24" w:name="payment-instructions"/>
    <w:p>
      <w:pPr>
        <w:pStyle w:val="Heading4"/>
      </w:pPr>
      <w:r>
        <w:t xml:space="preserve">Payment Instructions</w:t>
      </w:r>
    </w:p>
    <w:p>
      <w:pPr>
        <w:pStyle w:val="FirstParagraph"/>
      </w:pPr>
      <w:r>
        <w:t xml:space="preserve">Please remit payment within 30 days of the invoice date. Payments should be made via Electronic Funds Transfer (EFT) to the following account:</w:t>
      </w:r>
    </w:p>
    <w:p>
      <w:pPr>
        <w:pStyle w:val="BodyText"/>
      </w:pPr>
      <w:r>
        <w:rPr>
          <w:bCs/>
          <w:b/>
        </w:rPr>
        <w:t xml:space="preserve">Bank Name:</w:t>
      </w:r>
      <w:r>
        <w:t xml:space="preserve"> </w:t>
      </w:r>
      <w:r>
        <w:t xml:space="preserve">National Australia Bank</w:t>
      </w:r>
    </w:p>
    <w:p>
      <w:pPr>
        <w:pStyle w:val="BodyText"/>
      </w:pPr>
      <w:r>
        <w:rPr>
          <w:bCs/>
          <w:b/>
        </w:rPr>
        <w:t xml:space="preserve">Branch:</w:t>
      </w:r>
      <w:r>
        <w:t xml:space="preserve"> </w:t>
      </w:r>
      <w:r>
        <w:t xml:space="preserve">Melbourne CBD</w:t>
      </w:r>
    </w:p>
    <w:p>
      <w:pPr>
        <w:pStyle w:val="BodyText"/>
      </w:pPr>
      <w:r>
        <w:rPr>
          <w:bCs/>
          <w:b/>
        </w:rPr>
        <w:t xml:space="preserve">BSB:</w:t>
      </w:r>
      <w:r>
        <w:t xml:space="preserve"> </w:t>
      </w:r>
      <w:r>
        <w:t xml:space="preserve">082-001</w:t>
      </w:r>
    </w:p>
    <w:p>
      <w:pPr>
        <w:pStyle w:val="BodyText"/>
      </w:pPr>
      <w:r>
        <w:rPr>
          <w:bCs/>
          <w:b/>
        </w:rPr>
        <w:t xml:space="preserve">Account Name:</w:t>
      </w:r>
      <w:r>
        <w:t xml:space="preserve"> </w:t>
      </w:r>
      <w:r>
        <w:t xml:space="preserve">Apex Petroleum Solutions Pty Ltd</w:t>
      </w:r>
    </w:p>
    <w:p>
      <w:pPr>
        <w:pStyle w:val="BodyText"/>
      </w:pPr>
      <w:r>
        <w:rPr>
          <w:bCs/>
          <w:b/>
        </w:rPr>
        <w:t xml:space="preserve">Account Number:</w:t>
      </w:r>
      <w:r>
        <w:t xml:space="preserve"> </w:t>
      </w:r>
      <w:r>
        <w:t xml:space="preserve">123456789</w:t>
      </w:r>
    </w:p>
    <w:p>
      <w:pPr>
        <w:pStyle w:val="BodyText"/>
      </w:pPr>
      <w:r>
        <w:rPr>
          <w:bCs/>
          <w:b/>
        </w:rPr>
        <w:t xml:space="preserve">Reference:</w:t>
      </w:r>
      <w:r>
        <w:t xml:space="preserve"> </w:t>
      </w:r>
      <w:r>
        <w:t xml:space="preserve">INV-2023-10-045</w:t>
      </w:r>
    </w:p>
    <w:bookmarkEnd w:id="24"/>
    <w:bookmarkStart w:id="25" w:name="terms-and-conditions"/>
    <w:p>
      <w:pPr>
        <w:pStyle w:val="Heading4"/>
      </w:pPr>
      <w:r>
        <w:t xml:space="preserve">Terms and Conditions</w:t>
      </w:r>
    </w:p>
    <w:p>
      <w:pPr>
        <w:numPr>
          <w:ilvl w:val="0"/>
          <w:numId w:val="1001"/>
        </w:numPr>
        <w:pStyle w:val="Compact"/>
      </w:pPr>
      <w:r>
        <w:rPr>
          <w:bCs/>
          <w:b/>
        </w:rPr>
        <w:t xml:space="preserve">Currency:</w:t>
      </w:r>
      <w:r>
        <w:t xml:space="preserve"> </w:t>
      </w:r>
      <w:r>
        <w:t xml:space="preserve">All amounts are quoted in Australian Dollars (AUD).</w:t>
      </w:r>
    </w:p>
    <w:p>
      <w:pPr>
        <w:numPr>
          <w:ilvl w:val="0"/>
          <w:numId w:val="1001"/>
        </w:numPr>
        <w:pStyle w:val="Compact"/>
      </w:pPr>
      <w:r>
        <w:rPr>
          <w:bCs/>
          <w:b/>
        </w:rPr>
        <w:t xml:space="preserve">GST:</w:t>
      </w:r>
      <w:r>
        <w:t xml:space="preserve"> </w:t>
      </w:r>
      <w:r>
        <w:t xml:space="preserve">Goods and Services Tax (GST) is included in the total amount as per Australian Taxation Office requirements.</w:t>
      </w:r>
    </w:p>
    <w:p>
      <w:pPr>
        <w:numPr>
          <w:ilvl w:val="0"/>
          <w:numId w:val="1001"/>
        </w:numPr>
        <w:pStyle w:val="Compact"/>
      </w:pPr>
      <w:r>
        <w:rPr>
          <w:bCs/>
          <w:b/>
        </w:rPr>
        <w:t xml:space="preserve">Payment Terms:</w:t>
      </w:r>
      <w:r>
        <w:t xml:space="preserve"> </w:t>
      </w:r>
      <w:r>
        <w:t xml:space="preserve">Payment is due within 30 days. Late payments may incur interest charges at the rate of 10% per annum.</w:t>
      </w:r>
    </w:p>
    <w:p>
      <w:pPr>
        <w:numPr>
          <w:ilvl w:val="0"/>
          <w:numId w:val="1001"/>
        </w:numPr>
        <w:pStyle w:val="Compact"/>
      </w:pPr>
      <w:r>
        <w:rPr>
          <w:bCs/>
          <w:b/>
        </w:rPr>
        <w:t xml:space="preserve">Disputes:</w:t>
      </w:r>
      <w:r>
        <w:t xml:space="preserve"> </w:t>
      </w:r>
      <w:r>
        <w:t xml:space="preserve">Any discrepancies regarding this invoice must be reported in writing within 7 days of receipt.</w:t>
      </w:r>
    </w:p>
    <w:p>
      <w:pPr>
        <w:numPr>
          <w:ilvl w:val="0"/>
          <w:numId w:val="1001"/>
        </w:numPr>
        <w:pStyle w:val="Compact"/>
      </w:pPr>
      <w:r>
        <w:rPr>
          <w:bCs/>
          <w:b/>
        </w:rPr>
        <w:t xml:space="preserve">Scope:</w:t>
      </w:r>
      <w:r>
        <w:t xml:space="preserve"> </w:t>
      </w:r>
      <w:r>
        <w:t xml:space="preserve">Services rendered are specific to the Petroleum Engineering scope defined in Contract Ref: PET-ENG-2023-AUS. Additional services will be billed separately.</w:t>
      </w:r>
    </w:p>
    <w:p>
      <w:pPr>
        <w:numPr>
          <w:ilvl w:val="0"/>
          <w:numId w:val="1001"/>
        </w:numPr>
        <w:pStyle w:val="Compact"/>
      </w:pPr>
      <w:r>
        <w:rPr>
          <w:bCs/>
          <w:b/>
        </w:rPr>
        <w:t xml:space="preserve">Confidentiality:</w:t>
      </w:r>
      <w:r>
        <w:t xml:space="preserve"> </w:t>
      </w:r>
      <w:r>
        <w:t xml:space="preserve">All data and findings provided in this engagement remain the confidential property of Victorian Energy Resources Ltd.</w:t>
      </w:r>
    </w:p>
    <w:bookmarkEnd w:id="25"/>
    <w:p>
      <w:pPr>
        <w:pStyle w:val="FirstParagraph"/>
      </w:pPr>
      <w:r>
        <w:t xml:space="preserve">Thank you for your business. We appreciate the opportunity to support your energy operations in Australia.</w:t>
      </w:r>
    </w:p>
    <w:p>
      <w:pPr>
        <w:pStyle w:val="BodyText"/>
      </w:pPr>
      <w:r>
        <w:t xml:space="preserve">Apex Petroleum Solutions Pty Ltd | ABN: 12 345 678 901 | Melbourne, Victoria, Australia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Services Invoice - Petroleum Engineering</dc:title>
  <dc:creator/>
  <dc:language>en</dc:language>
  <cp:keywords/>
  <dcterms:created xsi:type="dcterms:W3CDTF">2026-10-10T01:16:36Z</dcterms:created>
  <dcterms:modified xsi:type="dcterms:W3CDTF">2026-10-10T01:16:36Z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