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geotech-petroleum-solutions-gmbh"/>
    <w:p>
      <w:pPr>
        <w:pStyle w:val="Heading2"/>
      </w:pPr>
      <w:r>
        <w:t xml:space="preserve">GeoTech Petroleum Solutions GmbH</w:t>
      </w:r>
    </w:p>
    <w:p>
      <w:pPr>
        <w:pStyle w:val="FirstParagraph"/>
      </w:pPr>
      <w:r>
        <w:t xml:space="preserve">Friedrichstraße 123</w:t>
      </w:r>
      <w:r>
        <w:br/>
      </w:r>
      <w:r>
        <w:t xml:space="preserve">10117 Berlin</w:t>
      </w:r>
      <w:r>
        <w:br/>
      </w:r>
      <w:r>
        <w:t xml:space="preserve">Germany</w:t>
      </w:r>
      <w:r>
        <w:br/>
      </w:r>
      <w:r>
        <w:t xml:space="preserve">VAT ID: DE123456789</w:t>
      </w:r>
      <w:r>
        <w:br/>
      </w:r>
      <w:r>
        <w:t xml:space="preserve">Email: billing@geotech-petroleum.de</w:t>
      </w:r>
      <w:r>
        <w:br/>
      </w:r>
      <w:r>
        <w:t xml:space="preserve">Phone: +49 30 12345678</w:t>
      </w:r>
    </w:p>
    <w:bookmarkEnd w:id="20"/>
    <w:bookmarkStart w:id="21" w:name="billed-to"/>
    <w:p>
      <w:pPr>
        <w:pStyle w:val="Heading3"/>
      </w:pPr>
      <w:r>
        <w:t xml:space="preserve">Billed To:</w:t>
      </w:r>
    </w:p>
    <w:p>
      <w:pPr>
        <w:pStyle w:val="FirstParagraph"/>
      </w:pPr>
      <w:r>
        <w:t xml:space="preserve">EuroEnergy Resources AG</w:t>
      </w:r>
      <w:r>
        <w:br/>
      </w:r>
      <w:r>
        <w:t xml:space="preserve">Potsdamer Platz 5</w:t>
      </w:r>
      <w:r>
        <w:br/>
      </w:r>
      <w:r>
        <w:t xml:space="preserve">10785 Berlin</w:t>
      </w:r>
      <w:r>
        <w:br/>
      </w:r>
      <w:r>
        <w:t xml:space="preserve">Germany</w:t>
      </w:r>
      <w:r>
        <w:br/>
      </w:r>
      <w:r>
        <w:t xml:space="preserve">Contact: Mr. Klaus Weber</w:t>
      </w:r>
      <w:r>
        <w:br/>
      </w:r>
      <w:r>
        <w:t xml:space="preserve">Email: k.weber@euroenergy.de</w:t>
      </w:r>
    </w:p>
    <w:bookmarkEnd w:id="21"/>
    <w:p>
      <w:pPr>
        <w:pStyle w:val="BodyText"/>
      </w:pPr>
      <w:r>
        <w:t xml:space="preserve">INVOICE</w:t>
      </w:r>
    </w:p>
    <w:p>
      <w:pPr>
        <w:pStyle w:val="BodyText"/>
      </w:pPr>
      <w:r>
        <w:rPr>
          <w:bCs/>
          <w:b/>
        </w:rPr>
        <w:t xml:space="preserve">Invoice Number:</w:t>
      </w:r>
      <w:r>
        <w:t xml:space="preserve"> </w:t>
      </w:r>
      <w:r>
        <w:t xml:space="preserve">INV-2024-0458</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Project Reference:</w:t>
      </w:r>
      <w:r>
        <w:t xml:space="preserve"> </w:t>
      </w:r>
      <w:r>
        <w:t xml:space="preserve">Berlin Offshore Reservoir Optimization Phase II</w:t>
      </w:r>
    </w:p>
    <w:p>
      <w:pPr>
        <w:pStyle w:val="BodyText"/>
      </w:pPr>
      <w:r>
        <w:t xml:space="preserve">Dear Mr. Weber,</w:t>
      </w:r>
    </w:p>
    <w:p>
      <w:pPr>
        <w:pStyle w:val="BodyText"/>
      </w:pPr>
      <w:r>
        <w:t xml:space="preserve">Please find attached the formal invoice for professional services rendered by our team of senior Petroleum Engineers in Berlin, Germany. This document outlines the detailed breakdown of consulting, analysis, and field support activities conducted during the period of September 1, 2024, to September 30, 2024. As a leading provider of subsurface engineering solutions in Germany, GeoTech Petroleum Solutions GmbH is committed to delivering precise, data-driven strategies that enhance recovery efficiency and operational safety.</w:t>
      </w:r>
    </w:p>
    <w:p>
      <w:pPr>
        <w:pStyle w:val="BodyText"/>
      </w:pPr>
      <w:r>
        <w:t xml:space="preserve">The following services were executed in strict accordance with German engineering standards and international best practices for petroleum operations. Our engineers conducted comprehensive reservoir simulations, well performance diagnostics, and production optimization studies tailored to your specific asset requirements in the North Sea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Reservoir Characterization and Static Modeling</w:t>
            </w:r>
          </w:p>
        </w:tc>
        <w:tc>
          <w:tcPr/>
          <w:p>
            <w:pPr>
              <w:pStyle w:val="Compact"/>
              <w:jc w:val="left"/>
            </w:pPr>
            <w:r>
              <w:t xml:space="preserve">40 hours</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Dynamic Simulation and History Matching</w:t>
            </w:r>
          </w:p>
        </w:tc>
        <w:tc>
          <w:tcPr/>
          <w:p>
            <w:pPr>
              <w:pStyle w:val="Compact"/>
              <w:jc w:val="left"/>
            </w:pPr>
            <w:r>
              <w:t xml:space="preserve">35 hours</w:t>
            </w:r>
          </w:p>
        </w:tc>
        <w:tc>
          <w:tcPr/>
          <w:p>
            <w:pPr>
              <w:pStyle w:val="Compact"/>
              <w:jc w:val="left"/>
            </w:pPr>
            <w:r>
              <w:t xml:space="preserve">195.00</w:t>
            </w:r>
          </w:p>
        </w:tc>
        <w:tc>
          <w:tcPr/>
          <w:p>
            <w:pPr>
              <w:pStyle w:val="Compact"/>
              <w:jc w:val="left"/>
            </w:pPr>
            <w:r>
              <w:t xml:space="preserve">6,825.00</w:t>
            </w:r>
          </w:p>
        </w:tc>
      </w:tr>
      <w:tr>
        <w:tc>
          <w:tcPr/>
          <w:p>
            <w:pPr>
              <w:pStyle w:val="Compact"/>
              <w:jc w:val="left"/>
            </w:pPr>
            <w:r>
              <w:t xml:space="preserve">Well Completion Design Review</w:t>
            </w:r>
          </w:p>
        </w:tc>
        <w:tc>
          <w:tcPr/>
          <w:p>
            <w:pPr>
              <w:pStyle w:val="Compact"/>
              <w:jc w:val="left"/>
            </w:pPr>
            <w:r>
              <w:t xml:space="preserve">20 hours</w:t>
            </w:r>
          </w:p>
        </w:tc>
        <w:tc>
          <w:tcPr/>
          <w:p>
            <w:pPr>
              <w:pStyle w:val="Compact"/>
              <w:jc w:val="left"/>
            </w:pPr>
            <w:r>
              <w:t xml:space="preserve">175.00</w:t>
            </w:r>
          </w:p>
        </w:tc>
        <w:tc>
          <w:tcPr/>
          <w:p>
            <w:pPr>
              <w:pStyle w:val="Compact"/>
              <w:jc w:val="left"/>
            </w:pPr>
            <w:r>
              <w:t xml:space="preserve">3,500.00</w:t>
            </w:r>
          </w:p>
        </w:tc>
      </w:tr>
      <w:tr>
        <w:tc>
          <w:tcPr/>
          <w:p>
            <w:pPr>
              <w:pStyle w:val="Compact"/>
              <w:jc w:val="left"/>
            </w:pPr>
            <w:r>
              <w:t xml:space="preserve">Production Data Analysis and Decline Curve Forecasting</w:t>
            </w:r>
          </w:p>
        </w:tc>
        <w:tc>
          <w:tcPr/>
          <w:p>
            <w:pPr>
              <w:pStyle w:val="Compact"/>
              <w:jc w:val="left"/>
            </w:pPr>
            <w:r>
              <w:t xml:space="preserve">25 hours</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Technical Reporting and Client Presentation in Berlin</w:t>
            </w:r>
          </w:p>
        </w:tc>
        <w:tc>
          <w:tcPr/>
          <w:p>
            <w:pPr>
              <w:pStyle w:val="Compact"/>
              <w:jc w:val="left"/>
            </w:pPr>
            <w:r>
              <w:t xml:space="preserve">10 hours</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Software Licensing Fees (Reservoir Simulation Suite)</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Travel and On-Site Support (Berlin Office)</w:t>
            </w:r>
          </w:p>
        </w:tc>
        <w:tc>
          <w:tcPr/>
          <w:p>
            <w:pPr>
              <w:pStyle w:val="Compact"/>
              <w:jc w:val="left"/>
            </w:pPr>
            <w:r>
              <w:t xml:space="preserve">5 days</w:t>
            </w:r>
          </w:p>
        </w:tc>
        <w:tc>
          <w:tcPr/>
          <w:p>
            <w:pPr>
              <w:pStyle w:val="Compact"/>
              <w:jc w:val="left"/>
            </w:pPr>
            <w:r>
              <w:t xml:space="preserve">350.00</w:t>
            </w:r>
          </w:p>
        </w:tc>
        <w:tc>
          <w:tcPr/>
          <w:p>
            <w:pPr>
              <w:pStyle w:val="Compact"/>
              <w:jc w:val="left"/>
            </w:pPr>
            <w:r>
              <w:t xml:space="preserve">1,750.00</w:t>
            </w:r>
          </w:p>
        </w:tc>
      </w:tr>
    </w:tbl>
    <w:p/>
    <w:tbl>
      <w:tblPr>
        <w:tblStyle w:val="Table"/>
        <w:tblW w:type="auto" w:w="0"/>
        <w:tblLook w:firstRow="0" w:lastRow="0" w:firstColumn="0" w:lastColumn="0" w:noHBand="0" w:noVBand="0" w:val="0000"/>
      </w:tblPr>
      <w:tblGrid>
        <w:gridCol w:w="1980"/>
        <w:gridCol w:w="1980"/>
        <w:gridCol w:w="1980"/>
        <w:gridCol w:w="1980"/>
      </w:tblGrid>
      <w:tr>
        <w:tc>
          <w:tcPr>
            <w:gridSpan w:val="3"/>
          </w:tcPr>
          <w:p>
            <w:pPr>
              <w:pStyle w:val="Compact"/>
              <w:jc w:val="right"/>
            </w:pPr>
            <w:r>
              <w:rPr>
                <w:bCs/>
                <w:b/>
              </w:rPr>
              <w:t xml:space="preserve">Subtotal:</w:t>
            </w:r>
          </w:p>
        </w:tc>
        <w:tc>
          <w:tcPr/>
          <w:p>
            <w:pPr>
              <w:pStyle w:val="Compact"/>
              <w:jc w:val="left"/>
            </w:pPr>
            <w:r>
              <w:t xml:space="preserve">27,400.00 EUR</w:t>
            </w:r>
          </w:p>
        </w:tc>
      </w:tr>
      <w:tr>
        <w:tc>
          <w:tcPr>
            <w:gridSpan w:val="3"/>
          </w:tcPr>
          <w:p>
            <w:pPr>
              <w:pStyle w:val="Compact"/>
              <w:jc w:val="right"/>
            </w:pPr>
            <w:r>
              <w:rPr>
                <w:bCs/>
                <w:b/>
              </w:rPr>
              <w:t xml:space="preserve">VAT (19%):</w:t>
            </w:r>
          </w:p>
        </w:tc>
        <w:tc>
          <w:tcPr/>
          <w:p>
            <w:pPr>
              <w:pStyle w:val="Compact"/>
              <w:jc w:val="left"/>
            </w:pPr>
            <w:r>
              <w:t xml:space="preserve">5,206.00 EUR</w:t>
            </w:r>
          </w:p>
        </w:tc>
      </w:tr>
      <w:tr>
        <w:tc>
          <w:tcPr>
            <w:gridSpan w:val="3"/>
          </w:tcPr>
          <w:p>
            <w:pPr>
              <w:pStyle w:val="Compact"/>
              <w:jc w:val="right"/>
            </w:pPr>
            <w:r>
              <w:rPr>
                <w:bCs/>
                <w:b/>
              </w:rPr>
              <w:t xml:space="preserve">Total Amount Due:</w:t>
            </w:r>
          </w:p>
        </w:tc>
        <w:tc>
          <w:tcPr/>
          <w:p>
            <w:pPr>
              <w:pStyle w:val="Compact"/>
              <w:jc w:val="left"/>
            </w:pPr>
            <w:r>
              <w:t xml:space="preserve">32,606.00 EUR</w:t>
            </w:r>
          </w:p>
        </w:tc>
      </w:tr>
    </w:tbl>
    <w:bookmarkStart w:id="22" w:name="payment-instructions"/>
    <w:p>
      <w:pPr>
        <w:pStyle w:val="Heading3"/>
      </w:pPr>
      <w:r>
        <w:t xml:space="preserve">Payment Instructions:</w:t>
      </w:r>
    </w:p>
    <w:p>
      <w:pPr>
        <w:pStyle w:val="FirstParagraph"/>
      </w:pPr>
      <w:r>
        <w:t xml:space="preserve">Please remit payment within 30 days of the invoice date to the following bank account:</w:t>
      </w:r>
    </w:p>
    <w:p>
      <w:pPr>
        <w:pStyle w:val="BodyText"/>
      </w:pPr>
      <w:r>
        <w:rPr>
          <w:bCs/>
          <w:b/>
        </w:rPr>
        <w:t xml:space="preserve">Bank Name:</w:t>
      </w:r>
      <w:r>
        <w:t xml:space="preserve"> </w:t>
      </w:r>
      <w:r>
        <w:t xml:space="preserve">Deutsche Bank AG</w:t>
      </w:r>
      <w:r>
        <w:br/>
      </w:r>
      <w:r>
        <w:rPr>
          <w:bCs/>
          <w:b/>
        </w:rPr>
        <w:t xml:space="preserve">Account Holder:</w:t>
      </w:r>
      <w:r>
        <w:t xml:space="preserve"> </w:t>
      </w:r>
      <w:r>
        <w:t xml:space="preserve">GeoTech Petroleum Solutions GmbH</w:t>
      </w:r>
      <w:r>
        <w:br/>
      </w:r>
      <w:r>
        <w:rPr>
          <w:bCs/>
          <w:b/>
        </w:rPr>
        <w:t xml:space="preserve">IBAN:</w:t>
      </w:r>
      <w:r>
        <w:t xml:space="preserve"> </w:t>
      </w:r>
      <w:r>
        <w:t xml:space="preserve">DE89 3704 0044 0532 0130 00</w:t>
      </w:r>
      <w:r>
        <w:br/>
      </w:r>
      <w:r>
        <w:rPr>
          <w:bCs/>
          <w:b/>
        </w:rPr>
        <w:t xml:space="preserve">BIC:</w:t>
      </w:r>
      <w:r>
        <w:t xml:space="preserve"> </w:t>
      </w:r>
      <w:r>
        <w:t xml:space="preserve">DEUTDEDBBER</w:t>
      </w:r>
      <w:r>
        <w:br/>
      </w:r>
      <w:r>
        <w:rPr>
          <w:bCs/>
          <w:b/>
        </w:rPr>
        <w:t xml:space="preserve">Reference:</w:t>
      </w:r>
      <w:r>
        <w:t xml:space="preserve"> </w:t>
      </w:r>
      <w:r>
        <w:t xml:space="preserve">INV-2024-0458</w:t>
      </w:r>
    </w:p>
    <w:p>
      <w:pPr>
        <w:pStyle w:val="BodyText"/>
      </w:pPr>
      <w:r>
        <w:t xml:space="preserve">Late payments will incur interest at a rate of 5% above the European Central Bank's base rate, in accordance with German commercial law (§ 288 BGB).</w:t>
      </w:r>
    </w:p>
    <w:bookmarkEnd w:id="22"/>
    <w:bookmarkStart w:id="23" w:name="terms-and-conditions"/>
    <w:p>
      <w:pPr>
        <w:pStyle w:val="Heading3"/>
      </w:pPr>
      <w:r>
        <w:t xml:space="preserve">Terms and Conditions:</w:t>
      </w:r>
    </w:p>
    <w:p>
      <w:pPr>
        <w:pStyle w:val="FirstParagraph"/>
      </w:pPr>
      <w:r>
        <w:t xml:space="preserve">1. All services provided by our Petroleum Engineers are subject to the general terms and conditions of GeoTech Petroleum Solutions GmbH.</w:t>
      </w:r>
      <w:r>
        <w:br/>
      </w:r>
      <w:r>
        <w:t xml:space="preserve">2. Intellectual property rights for all models, reports, and analyses remain with GeoTech Petroleum Solutions GmbH until full payment is received.</w:t>
      </w:r>
      <w:r>
        <w:br/>
      </w:r>
      <w:r>
        <w:t xml:space="preserve">3. This invoice is governed by the laws of Germany. Any disputes shall be resolved in the courts of Berlin.</w:t>
      </w:r>
      <w:r>
        <w:br/>
      </w:r>
      <w:r>
        <w:t xml:space="preserve">4. Please quote the invoice number on all correspondence and payments.</w:t>
      </w:r>
    </w:p>
    <w:bookmarkEnd w:id="23"/>
    <w:bookmarkStart w:id="24" w:name="service-summary"/>
    <w:p>
      <w:pPr>
        <w:pStyle w:val="Heading3"/>
      </w:pPr>
      <w:r>
        <w:t xml:space="preserve">Service Summary:</w:t>
      </w:r>
    </w:p>
    <w:p>
      <w:pPr>
        <w:pStyle w:val="FirstParagraph"/>
      </w:pPr>
      <w:r>
        <w:t xml:space="preserve">During this billing period, our team focused on optimizing recovery strategies for your offshore assets. Key deliverables include a revised static reservoir model, updated dynamic simulation results, and a detailed well completion recommendation report. All work was performed by certified Petroleum Engineers with extensive experience in German and North Sea operations. Our commitment to technical excellence ensures that your projects meet the highest standards of efficiency and regulatory compliance.</w:t>
      </w:r>
    </w:p>
    <w:p>
      <w:pPr>
        <w:pStyle w:val="BodyText"/>
      </w:pPr>
      <w:r>
        <w:t xml:space="preserve">Should you have any questions regarding this invoice or the services provided, please do not hesitate to contact our billing department in Berlin. We value our partnership with EuroEnergy Resources AG and look forward to continuing our collaboration on future projects.</w:t>
      </w:r>
    </w:p>
    <w:bookmarkEnd w:id="24"/>
    <w:p>
      <w:pPr>
        <w:pStyle w:val="BodyText"/>
      </w:pPr>
      <w:r>
        <w:t xml:space="preserve">GeoTech Petroleum Solutions GmbH | Registered in Berlin, Germany | VAT ID: DE123456789</w:t>
      </w:r>
      <w:r>
        <w:br/>
      </w: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Petroleum Engineering Services</dc:title>
  <dc:creator/>
  <dc:language>en</dc:language>
  <cp:keywords/>
  <dcterms:created xsi:type="dcterms:W3CDTF">2026-10-10T01:14:48Z</dcterms:created>
  <dcterms:modified xsi:type="dcterms:W3CDTF">2026-10-10T01:14:48Z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