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alpine-subsurface-solutions-gmbh"/>
    <w:p>
      <w:pPr>
        <w:pStyle w:val="Heading1"/>
      </w:pPr>
      <w:r>
        <w:t xml:space="preserve">Alpine Subsurface Solutions GmbH</w:t>
      </w:r>
    </w:p>
    <w:p>
      <w:pPr>
        <w:pStyle w:val="FirstParagraph"/>
      </w:pPr>
      <w:r>
        <w:rPr>
          <w:bCs/>
          <w:b/>
        </w:rPr>
        <w:t xml:space="preserve">Specialized Petroleum Engineering Consultancy</w:t>
      </w:r>
    </w:p>
    <w:p>
      <w:pPr>
        <w:pStyle w:val="BodyText"/>
      </w:pPr>
      <w:r>
        <w:t xml:space="preserve">Maximilianstraße 45, 80539 Munich, Germany</w:t>
      </w:r>
    </w:p>
    <w:p>
      <w:pPr>
        <w:pStyle w:val="BodyText"/>
      </w:pPr>
      <w:r>
        <w:t xml:space="preserve">Tax ID (Steuernummer): DE 123456789</w:t>
      </w:r>
    </w:p>
    <w:p>
      <w:pPr>
        <w:pStyle w:val="BodyText"/>
      </w:pPr>
      <w:r>
        <w:t xml:space="preserve">VAT ID (USt-IdNr.): DE999888777</w:t>
      </w:r>
    </w:p>
    <w:p>
      <w:pPr>
        <w:pStyle w:val="BodyText"/>
      </w:pPr>
      <w:r>
        <w:t xml:space="preserve">Email: billing@alpinesubsurface.de</w:t>
      </w:r>
    </w:p>
    <w:p>
      <w:pPr>
        <w:pStyle w:val="BodyText"/>
      </w:pPr>
      <w:r>
        <w:t xml:space="preserve">Phone: +49 89 12345678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Bavarian Energy Resources AG</w:t>
      </w:r>
    </w:p>
    <w:p>
      <w:pPr>
        <w:pStyle w:val="BodyText"/>
      </w:pPr>
      <w:r>
        <w:t xml:space="preserve">Attn: Procurement Department</w:t>
      </w:r>
    </w:p>
    <w:p>
      <w:pPr>
        <w:pStyle w:val="BodyText"/>
      </w:pPr>
      <w:r>
        <w:t xml:space="preserve">Leopoldstraße 100, 80802 Munich, Germany</w:t>
      </w:r>
    </w:p>
    <w:p>
      <w:pPr>
        <w:pStyle w:val="BodyText"/>
      </w:pPr>
      <w:r>
        <w:t xml:space="preserve">VAT ID: DE111222333</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Upper Jurassic Reservoir Optimization</w:t>
      </w:r>
    </w:p>
    <w:p>
      <w:pPr>
        <w:pStyle w:val="BodyText"/>
      </w:pPr>
      <w:r>
        <w:rPr>
          <w:bCs/>
          <w:b/>
        </w:rPr>
        <w:t xml:space="preserve">Location:</w:t>
      </w:r>
      <w:r>
        <w:t xml:space="preserve"> </w:t>
      </w:r>
      <w:r>
        <w:t xml:space="preserve">North Sea Block / Munich HQ Analysis</w:t>
      </w:r>
    </w:p>
    <w:p>
      <w:pPr>
        <w:pStyle w:val="BodyText"/>
      </w:pPr>
      <w:r>
        <w:rPr>
          <w:bCs/>
          <w:b/>
        </w:rPr>
        <w:t xml:space="preserve">Contract Ref:</w:t>
      </w:r>
      <w:r>
        <w:t xml:space="preserve"> </w:t>
      </w:r>
      <w:r>
        <w:t xml:space="preserve">PET-ENG-2023-Q4</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Reservoir Characterization &amp; Simulation</w:t>
            </w:r>
            <w:r>
              <w:br/>
            </w:r>
            <w:r>
              <w:t xml:space="preserve">Comprehensive analysis of reservoir heterogeneity and fluid dynamics. This service includes the calibration of numerical simulation models using historical production data to forecast future performance. As a senior Petroleum Engineer, I utilized advanced reservoir simulation software to optimize recovery strategies, ensuring compliance with German environmental regulations and industry standards.</w:t>
            </w:r>
          </w:p>
        </w:tc>
        <w:tc>
          <w:tcPr/>
          <w:p>
            <w:pPr>
              <w:pStyle w:val="Compact"/>
              <w:jc w:val="left"/>
            </w:pPr>
            <w:r>
              <w:t xml:space="preserve">40.0</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2</w:t>
            </w:r>
          </w:p>
        </w:tc>
        <w:tc>
          <w:tcPr/>
          <w:p>
            <w:pPr>
              <w:pStyle w:val="Compact"/>
              <w:jc w:val="left"/>
            </w:pPr>
            <w:r>
              <w:rPr>
                <w:bCs/>
                <w:b/>
              </w:rPr>
              <w:t xml:space="preserve">Well Completion Design &amp; Optimization</w:t>
            </w:r>
            <w:r>
              <w:br/>
            </w:r>
            <w:r>
              <w:t xml:space="preserve">Detailed engineering design for horizontal well completions in low-permeability formations. This task involved selecting appropriate completion hardware, fracture stimulation designs, and sand control methods. The analysis was conducted specifically for the client's assets, with technical reporting prepared at our Munich office to align with local operational requirements.</w:t>
            </w:r>
          </w:p>
        </w:tc>
        <w:tc>
          <w:tcPr/>
          <w:p>
            <w:pPr>
              <w:pStyle w:val="Compact"/>
              <w:jc w:val="left"/>
            </w:pPr>
            <w:r>
              <w:t xml:space="preserve">25.0</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Production Data Analysis &amp; Decline Curve Modeling</w:t>
            </w:r>
            <w:r>
              <w:br/>
            </w:r>
            <w:r>
              <w:t xml:space="preserve">Rigorous evaluation of production logs to identify bottlenecks and efficiency losses. This service provides critical insights into reservoir health and helps in planning future workovers. The Petroleum Engineer performed a detailed decline curve analysis (DCA) to estimate remaining reserves and optimize production schedules for maximum economic return.</w:t>
            </w:r>
          </w:p>
        </w:tc>
        <w:tc>
          <w:tcPr/>
          <w:p>
            <w:pPr>
              <w:pStyle w:val="Compact"/>
              <w:jc w:val="left"/>
            </w:pPr>
            <w:r>
              <w:t xml:space="preserve">15.0</w:t>
            </w:r>
          </w:p>
        </w:tc>
        <w:tc>
          <w:tcPr/>
          <w:p>
            <w:pPr>
              <w:pStyle w:val="Compact"/>
              <w:jc w:val="left"/>
            </w:pPr>
            <w:r>
              <w:t xml:space="preserve">180.00</w:t>
            </w:r>
          </w:p>
        </w:tc>
        <w:tc>
          <w:tcPr/>
          <w:p>
            <w:pPr>
              <w:pStyle w:val="Compact"/>
              <w:jc w:val="left"/>
            </w:pPr>
            <w:r>
              <w:t xml:space="preserve">2,700.00</w:t>
            </w:r>
          </w:p>
        </w:tc>
      </w:tr>
      <w:tr>
        <w:tc>
          <w:tcPr/>
          <w:p>
            <w:pPr>
              <w:pStyle w:val="Compact"/>
              <w:jc w:val="left"/>
            </w:pPr>
            <w:r>
              <w:t xml:space="preserve">4</w:t>
            </w:r>
          </w:p>
        </w:tc>
        <w:tc>
          <w:tcPr/>
          <w:p>
            <w:pPr>
              <w:pStyle w:val="Compact"/>
              <w:jc w:val="left"/>
            </w:pPr>
            <w:r>
              <w:rPr>
                <w:bCs/>
                <w:b/>
              </w:rPr>
              <w:t xml:space="preserve">Technical Reporting &amp; Regulatory Compliance Review</w:t>
            </w:r>
            <w:r>
              <w:br/>
            </w:r>
            <w:r>
              <w:t xml:space="preserve">Preparation of comprehensive technical reports detailing engineering recommendations. This includes a review of all proposed activities against the German Federal Mining Act (Berggesetz) and local Munich administrative guidelines. The report ensures that all petroleum engineering activities are technically sound and legally compliant within the jurisdiction of Germany.</w:t>
            </w:r>
          </w:p>
        </w:tc>
        <w:tc>
          <w:tcPr/>
          <w:p>
            <w:pPr>
              <w:pStyle w:val="Compact"/>
              <w:jc w:val="left"/>
            </w:pPr>
            <w:r>
              <w:t xml:space="preserve">10.0</w:t>
            </w:r>
          </w:p>
        </w:tc>
        <w:tc>
          <w:tcPr/>
          <w:p>
            <w:pPr>
              <w:pStyle w:val="Compact"/>
              <w:jc w:val="left"/>
            </w:pPr>
            <w:r>
              <w:t xml:space="preserve">180.00</w:t>
            </w:r>
          </w:p>
        </w:tc>
        <w:tc>
          <w:tcPr/>
          <w:p>
            <w:pPr>
              <w:pStyle w:val="Compact"/>
              <w:jc w:val="left"/>
            </w:pPr>
            <w:r>
              <w:t xml:space="preserve">1,800.00</w:t>
            </w:r>
          </w:p>
        </w:tc>
      </w:tr>
      <w:tr>
        <w:tc>
          <w:tcPr/>
          <w:p>
            <w:pPr>
              <w:pStyle w:val="Compact"/>
              <w:jc w:val="left"/>
            </w:pPr>
            <w:r>
              <w:t xml:space="preserve">5</w:t>
            </w:r>
          </w:p>
        </w:tc>
        <w:tc>
          <w:tcPr/>
          <w:p>
            <w:pPr>
              <w:pStyle w:val="Compact"/>
              <w:jc w:val="left"/>
            </w:pPr>
            <w:r>
              <w:rPr>
                <w:bCs/>
                <w:b/>
              </w:rPr>
              <w:t xml:space="preserve">Consultation on Enhanced Oil Recovery (EOR)</w:t>
            </w:r>
            <w:r>
              <w:br/>
            </w:r>
            <w:r>
              <w:t xml:space="preserve">Strategic consultation regarding the implementation of gas injection techniques. The Petroleum Engineer assessed the feasibility of CO2 injection for enhanced recovery, considering both technical viability and carbon capture utilization and storage (CCUS) incentives available in Germany.</w:t>
            </w:r>
          </w:p>
        </w:tc>
        <w:tc>
          <w:tcPr/>
          <w:p>
            <w:pPr>
              <w:pStyle w:val="Compact"/>
              <w:jc w:val="left"/>
            </w:pPr>
            <w:r>
              <w:t xml:space="preserve">5.0</w:t>
            </w:r>
          </w:p>
        </w:tc>
        <w:tc>
          <w:tcPr/>
          <w:p>
            <w:pPr>
              <w:pStyle w:val="Compact"/>
              <w:jc w:val="left"/>
            </w:pPr>
            <w:r>
              <w:t xml:space="preserve">200.00</w:t>
            </w:r>
          </w:p>
        </w:tc>
        <w:tc>
          <w:tcPr/>
          <w:p>
            <w:pPr>
              <w:pStyle w:val="Compact"/>
              <w:jc w:val="left"/>
            </w:pPr>
            <w:r>
              <w:t xml:space="preserve">1,000.00</w:t>
            </w:r>
          </w:p>
        </w:tc>
      </w:tr>
    </w:tbl>
    <w:p>
      <w:pPr>
        <w:pStyle w:val="BodyText"/>
      </w:pPr>
      <w:r>
        <w:t xml:space="preserve">Subtotal:</w:t>
      </w:r>
      <w:r>
        <w:t xml:space="preserve"> </w:t>
      </w:r>
      <w:r>
        <w:t xml:space="preserve">17,200.00 EUR</w:t>
      </w:r>
    </w:p>
    <w:p>
      <w:pPr>
        <w:pStyle w:val="BodyText"/>
      </w:pPr>
      <w:r>
        <w:t xml:space="preserve">VAT (19% - Umsatzsteuer):</w:t>
      </w:r>
      <w:r>
        <w:t xml:space="preserve"> </w:t>
      </w:r>
      <w:r>
        <w:t xml:space="preserve">3,268.00 EUR</w:t>
      </w:r>
    </w:p>
    <w:p>
      <w:pPr>
        <w:pStyle w:val="BodyText"/>
      </w:pPr>
      <w:r>
        <w:t xml:space="preserve">TOTAL DUE:</w:t>
      </w:r>
      <w:r>
        <w:t xml:space="preserve"> </w:t>
      </w:r>
      <w:r>
        <w:t xml:space="preserve">20,468.00 EUR</w:t>
      </w:r>
    </w:p>
    <w:bookmarkStart w:id="24" w:name="payment-instructions-notes"/>
    <w:p>
      <w:pPr>
        <w:pStyle w:val="Heading4"/>
      </w:pPr>
      <w:r>
        <w:t xml:space="preserve">Payment Instructions &amp; Notes:</w:t>
      </w:r>
    </w:p>
    <w:p>
      <w:pPr>
        <w:pStyle w:val="FirstParagraph"/>
      </w:pPr>
      <w:r>
        <w:rPr>
          <w:bCs/>
          <w:b/>
        </w:rPr>
        <w:t xml:space="preserve">Bank Transfer Details:</w:t>
      </w:r>
      <w:r>
        <w:br/>
      </w:r>
      <w:r>
        <w:t xml:space="preserve">Bank Name: Bayerische Landesbank</w:t>
      </w:r>
      <w:r>
        <w:br/>
      </w:r>
      <w:r>
        <w:t xml:space="preserve">IBAN: DE89 7005 0000 0000 1234 56</w:t>
      </w:r>
      <w:r>
        <w:br/>
      </w:r>
      <w:r>
        <w:t xml:space="preserve">BIC: BYLADEM1001</w:t>
      </w:r>
      <w:r>
        <w:br/>
      </w:r>
      <w:r>
        <w:t xml:space="preserve">Reference: INV-2023-10-042</w:t>
      </w:r>
    </w:p>
    <w:p>
      <w:pPr>
        <w:pStyle w:val="BodyText"/>
      </w:pPr>
      <w:r>
        <w:rPr>
          <w:bCs/>
          <w:b/>
        </w:rPr>
        <w:t xml:space="preserve">Terms and Conditions:</w:t>
      </w:r>
      <w:r>
        <w:br/>
      </w:r>
      <w:r>
        <w:t xml:space="preserve">1. Payment is due within 30 days of the invoice date. Late payments will be subject to interest charges in accordance with German law (BGB §288).</w:t>
      </w:r>
      <w:r>
        <w:br/>
      </w:r>
      <w:r>
        <w:t xml:space="preserve">2. All services rendered by the Petroleum Engineer are based on the best available data and industry-standard engineering practices.</w:t>
      </w:r>
      <w:r>
        <w:br/>
      </w:r>
      <w:r>
        <w:t xml:space="preserve">3. This invoice is issued in accordance with the German Commercial Code (HGB) and VAT regulations (UStG).</w:t>
      </w:r>
      <w:r>
        <w:br/>
      </w:r>
      <w:r>
        <w:t xml:space="preserve">4. Please ensure that the invoice reference number is included with your payment to facilitate quick processing.</w:t>
      </w:r>
      <w:r>
        <w:br/>
      </w:r>
      <w:r>
        <w:t xml:space="preserve">5. For any queries regarding this invoice or the technical services provided in Munich, please contact our finance department directly.</w:t>
      </w:r>
    </w:p>
    <w:bookmarkEnd w:id="24"/>
    <w:p>
      <w:pPr>
        <w:pStyle w:val="BodyText"/>
      </w:pPr>
      <w:r>
        <w:t xml:space="preserve">Alpine Subsurface Solutions GmbH | Registered in Munich, Germany | HRB 123456</w:t>
      </w:r>
    </w:p>
    <w:p>
      <w:pPr>
        <w:pStyle w:val="BodyText"/>
      </w:pPr>
      <w:r>
        <w:t xml:space="preserve">Managing Director: Dr. Hans Müller | VAT ID: DE999888777</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2026-10-10T04:32:13Z</dcterms:created>
  <dcterms:modified xsi:type="dcterms:W3CDTF">2026-10-10T04:32:13Z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