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sumatra-energy-solutions"/>
    <w:p>
      <w:pPr>
        <w:pStyle w:val="Heading1"/>
      </w:pPr>
      <w:r>
        <w:t xml:space="preserve">Sumatra Energy Solutions</w:t>
      </w:r>
    </w:p>
    <w:p>
      <w:pPr>
        <w:pStyle w:val="FirstParagraph"/>
      </w:pPr>
      <w:r>
        <w:t xml:space="preserve">Professional Petroleum Engineering Services</w:t>
      </w:r>
    </w:p>
    <w:p>
      <w:pPr>
        <w:pStyle w:val="BodyText"/>
      </w:pPr>
      <w:r>
        <w:t xml:space="preserve">Jl. Jend. Sudirman Kav. 52-53, SCBD Lot 11</w:t>
      </w:r>
    </w:p>
    <w:p>
      <w:pPr>
        <w:pStyle w:val="BodyText"/>
      </w:pPr>
      <w:r>
        <w:t xml:space="preserve">Indonesia Jakarta, 12190</w:t>
      </w:r>
    </w:p>
    <w:p>
      <w:pPr>
        <w:pStyle w:val="BodyText"/>
      </w:pPr>
      <w:r>
        <w:t xml:space="preserve">Tax ID (NPWP): 01.234.567.8-901.000</w:t>
      </w:r>
    </w:p>
    <w:p>
      <w:pPr>
        <w:pStyle w:val="BodyText"/>
      </w:pPr>
      <w:r>
        <w:t xml:space="preserve">Email: billing@sumatraenergy.co.id</w:t>
      </w:r>
    </w:p>
    <w:p>
      <w:pPr>
        <w:pStyle w:val="BodyText"/>
      </w:pPr>
      <w:r>
        <w:t xml:space="preserve">Phone: +62 21 5555 8888</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p>
        </w:tc>
        <w:tc>
          <w:tcPr/>
          <w:p>
            <w:pPr>
              <w:pStyle w:val="Compact"/>
              <w:jc w:val="left"/>
            </w:pPr>
            <w:r>
              <w:t xml:space="preserve">INV-JKT-2023-0892</w:t>
            </w:r>
          </w:p>
        </w:tc>
      </w:tr>
      <w:tr>
        <w:tc>
          <w:tcPr/>
          <w:p>
            <w:pPr>
              <w:pStyle w:val="Compact"/>
              <w:jc w:val="left"/>
            </w:pPr>
            <w:r>
              <w:rPr>
                <w:bCs/>
                <w:b/>
              </w:rPr>
              <w:t xml:space="preserve">Date Issued:</w:t>
            </w:r>
          </w:p>
        </w:tc>
        <w:tc>
          <w:tcPr/>
          <w:p>
            <w:pPr>
              <w:pStyle w:val="Compact"/>
              <w:jc w:val="left"/>
            </w:pPr>
            <w:r>
              <w:t xml:space="preserve">October 15, 2023</w:t>
            </w:r>
          </w:p>
        </w:tc>
      </w:tr>
      <w:tr>
        <w:tc>
          <w:tcPr/>
          <w:p>
            <w:pPr>
              <w:pStyle w:val="Compact"/>
              <w:jc w:val="left"/>
            </w:pPr>
            <w:r>
              <w:rPr>
                <w:bCs/>
                <w:b/>
              </w:rPr>
              <w:t xml:space="preserve">Due Date:</w:t>
            </w:r>
          </w:p>
        </w:tc>
        <w:tc>
          <w:tcPr/>
          <w:p>
            <w:pPr>
              <w:pStyle w:val="Compact"/>
              <w:jc w:val="left"/>
            </w:pPr>
            <w:r>
              <w:t xml:space="preserve">November 15, 2023</w:t>
            </w:r>
          </w:p>
        </w:tc>
      </w:tr>
      <w:tr>
        <w:tc>
          <w:tcPr/>
          <w:p>
            <w:pPr>
              <w:pStyle w:val="Compact"/>
              <w:jc w:val="left"/>
            </w:pPr>
            <w:r>
              <w:rPr>
                <w:bCs/>
                <w:b/>
              </w:rPr>
              <w:t xml:space="preserve">Project Reference:</w:t>
            </w:r>
          </w:p>
        </w:tc>
        <w:tc>
          <w:tcPr/>
          <w:p>
            <w:pPr>
              <w:pStyle w:val="Compact"/>
              <w:jc w:val="left"/>
            </w:pPr>
            <w:r>
              <w:t xml:space="preserve">CEU-2023-Phase-4</w:t>
            </w:r>
          </w:p>
        </w:tc>
      </w:tr>
    </w:tbl>
    <w:bookmarkEnd w:id="21"/>
    <w:bookmarkStart w:id="22" w:name="bill-to"/>
    <w:p>
      <w:pPr>
        <w:pStyle w:val="Heading3"/>
      </w:pPr>
      <w:r>
        <w:t xml:space="preserve">Bill To:</w:t>
      </w:r>
    </w:p>
    <w:p>
      <w:pPr>
        <w:pStyle w:val="FirstParagraph"/>
      </w:pPr>
      <w:r>
        <w:rPr>
          <w:bCs/>
          <w:b/>
        </w:rPr>
        <w:t xml:space="preserve">PT Nusantara Energi Utama</w:t>
      </w:r>
    </w:p>
    <w:p>
      <w:pPr>
        <w:pStyle w:val="BodyText"/>
      </w:pPr>
      <w:r>
        <w:t xml:space="preserve">Attn: Director of Operations</w:t>
      </w:r>
    </w:p>
    <w:p>
      <w:pPr>
        <w:pStyle w:val="BodyText"/>
      </w:pPr>
      <w:r>
        <w:t xml:space="preserve">Jl. Gatot Subroto Kav. 37</w:t>
      </w:r>
    </w:p>
    <w:p>
      <w:pPr>
        <w:pStyle w:val="BodyText"/>
      </w:pPr>
      <w:r>
        <w:t xml:space="preserve">Indonesia Jakarta, 12710</w:t>
      </w:r>
    </w:p>
    <w:p>
      <w:pPr>
        <w:pStyle w:val="BodyText"/>
      </w:pPr>
      <w:r>
        <w:t xml:space="preserve">Tax ID (NPWP): 98.765.432.1-012.000</w:t>
      </w:r>
    </w:p>
    <w:bookmarkEnd w:id="22"/>
    <w:bookmarkStart w:id="23" w:name="project-location"/>
    <w:p>
      <w:pPr>
        <w:pStyle w:val="Heading3"/>
      </w:pPr>
      <w:r>
        <w:t xml:space="preserve">Project Location:</w:t>
      </w:r>
    </w:p>
    <w:p>
      <w:pPr>
        <w:pStyle w:val="FirstParagraph"/>
      </w:pPr>
      <w:r>
        <w:t xml:space="preserve">Cepu Field Operations Center</w:t>
      </w:r>
    </w:p>
    <w:p>
      <w:pPr>
        <w:pStyle w:val="BodyText"/>
      </w:pPr>
      <w:r>
        <w:t xml:space="preserve">Jawa Tengah, Indonesia</w:t>
      </w:r>
    </w:p>
    <w:p>
      <w:pPr>
        <w:pStyle w:val="BodyText"/>
      </w:pPr>
      <w:r>
        <w:t xml:space="preserve">Site Manager: Budi Santoso</w:t>
      </w:r>
    </w:p>
    <w:p>
      <w:pPr>
        <w:pStyle w:val="BodyText"/>
      </w:pPr>
      <w:r>
        <w:t xml:space="preserve">Contact: +62 812 3456 7890</w:t>
      </w:r>
    </w:p>
    <w:bookmarkEnd w:id="23"/>
    <w:bookmarkStart w:id="24" w:name="scope-of-work-summary"/>
    <w:p>
      <w:pPr>
        <w:pStyle w:val="Heading3"/>
      </w:pPr>
      <w:r>
        <w:t xml:space="preserve">Scope of Work Summary</w:t>
      </w:r>
    </w:p>
    <w:p>
      <w:pPr>
        <w:pStyle w:val="FirstParagraph"/>
      </w:pPr>
      <w:r>
        <w:t xml:space="preserve">This</w:t>
      </w:r>
      <w:r>
        <w:t xml:space="preserve"> </w:t>
      </w:r>
      <w:r>
        <w:rPr>
          <w:bCs/>
          <w:b/>
        </w:rPr>
        <w:t xml:space="preserve">Invoice</w:t>
      </w:r>
      <w:r>
        <w:t xml:space="preserve"> </w:t>
      </w:r>
      <w:r>
        <w:t xml:space="preserve">covers professional consulting and technical execution services provided by our team of senior</w:t>
      </w:r>
      <w:r>
        <w:t xml:space="preserve"> </w:t>
      </w:r>
      <w:r>
        <w:rPr>
          <w:bCs/>
          <w:b/>
        </w:rPr>
        <w:t xml:space="preserve">Petroleum Engineer</w:t>
      </w:r>
      <w:r>
        <w:t xml:space="preserve"> </w:t>
      </w:r>
      <w:r>
        <w:t xml:space="preserve">specialists. The services were rendered in accordance with the Master Service Agreement (MSA) signed on January 10, 2023, specifically for the Enhanced Oil Recovery (EOR) optimization project located in the Cepu Basin. All technical assessments, reservoir simulations, and field supervision activities were conducted while adhering to the strict regulatory standards mandated by the Ministry of Energy and Mineral Resources of the Republic of Indonesia. The operational base for this engagement was established in</w:t>
      </w:r>
      <w:r>
        <w:t xml:space="preserve"> </w:t>
      </w:r>
      <w:r>
        <w:rPr>
          <w:bCs/>
          <w:b/>
        </w:rPr>
        <w:t xml:space="preserve">Indonesia Jakarta</w:t>
      </w:r>
      <w:r>
        <w:t xml:space="preserve">, serving as the central hub for data analysis, reporting, and client coordination before deployment to the field site.</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rPr>
                <w:bCs/>
                <w:b/>
              </w:rPr>
              <w:t xml:space="preserve">Reservoir Characterization &amp; Simulation</w:t>
            </w:r>
            <w:r>
              <w:br/>
            </w:r>
            <w:r>
              <w:t xml:space="preserve"> </w:t>
            </w:r>
            <w:r>
              <w:t xml:space="preserve">Comprehensive static and dynamic modeling performed by Lead Petroleum Engineer. Includes history matching of production data from 2018-2023, geological uncertainty analysis, and forecasting of future production profiles under various water injection scenarios.</w:t>
            </w:r>
            <w:r>
              <w:t xml:space="preserve"> </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2</w:t>
            </w:r>
          </w:p>
        </w:tc>
        <w:tc>
          <w:tcPr/>
          <w:p>
            <w:pPr>
              <w:pStyle w:val="Compact"/>
              <w:jc w:val="left"/>
            </w:pPr>
            <w:r>
              <w:rPr>
                <w:bCs/>
                <w:b/>
              </w:rPr>
              <w:t xml:space="preserve">Well Performance Analysis &amp; Optimization</w:t>
            </w:r>
            <w:r>
              <w:br/>
            </w:r>
            <w:r>
              <w:t xml:space="preserve"> </w:t>
            </w:r>
            <w:r>
              <w:t xml:space="preserve">Detailed nodal analysis for 12 producing wells. Identification of artificial lift inefficiencies and recommendation of ESP upgrades. This service was executed by a Senior Petroleum Engineer specializing in production engineering.</w:t>
            </w:r>
            <w:r>
              <w:t xml:space="preserve"> </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rPr>
                <w:bCs/>
                <w:b/>
              </w:rPr>
              <w:t xml:space="preserve">Field Supervision &amp; Technical Support</w:t>
            </w:r>
            <w:r>
              <w:br/>
            </w:r>
            <w:r>
              <w:t xml:space="preserve"> </w:t>
            </w:r>
            <w:r>
              <w:t xml:space="preserve">On-site supervision during the workover operations at Block C. Includes daily technical reporting, safety compliance checks (K3), and real-time troubleshooting of drilling parameters. Personnel deployed from our Jakarta office.</w:t>
            </w:r>
            <w:r>
              <w:t xml:space="preserve"> </w:t>
            </w:r>
          </w:p>
        </w:tc>
        <w:tc>
          <w:tcPr/>
          <w:p>
            <w:pPr>
              <w:pStyle w:val="Compact"/>
              <w:jc w:val="left"/>
            </w:pPr>
            <w:r>
              <w:t xml:space="preserve">15</w:t>
            </w:r>
          </w:p>
        </w:tc>
        <w:tc>
          <w:tcPr/>
          <w:p>
            <w:pPr>
              <w:pStyle w:val="Compact"/>
              <w:jc w:val="left"/>
            </w:pPr>
            <w:r>
              <w:t xml:space="preserve">12,000,000</w:t>
            </w:r>
          </w:p>
        </w:tc>
        <w:tc>
          <w:tcPr/>
          <w:p>
            <w:pPr>
              <w:pStyle w:val="Compact"/>
              <w:jc w:val="left"/>
            </w:pPr>
            <w:r>
              <w:t xml:space="preserve">180,000,000</w:t>
            </w:r>
          </w:p>
        </w:tc>
      </w:tr>
      <w:tr>
        <w:tc>
          <w:tcPr/>
          <w:p>
            <w:pPr>
              <w:pStyle w:val="Compact"/>
              <w:jc w:val="left"/>
            </w:pPr>
            <w:r>
              <w:t xml:space="preserve">4</w:t>
            </w:r>
          </w:p>
        </w:tc>
        <w:tc>
          <w:tcPr/>
          <w:p>
            <w:pPr>
              <w:pStyle w:val="Compact"/>
              <w:jc w:val="left"/>
            </w:pPr>
            <w:r>
              <w:rPr>
                <w:bCs/>
                <w:b/>
              </w:rPr>
              <w:t xml:space="preserve">Enhanced Oil Recovery (EOR) Feasibility Study</w:t>
            </w:r>
            <w:r>
              <w:br/>
            </w:r>
            <w:r>
              <w:t xml:space="preserve"> </w:t>
            </w:r>
            <w:r>
              <w:t xml:space="preserve">Technical and economic evaluation of CO2 injection potential. Includes phase behavior analysis, pilot design, and risk assessment. Prepared by a team of three Petroleum Engineers based in Indonesia Jakarta.</w:t>
            </w:r>
            <w:r>
              <w:t xml:space="preserve"> </w:t>
            </w:r>
          </w:p>
        </w:tc>
        <w:tc>
          <w:tcPr/>
          <w:p>
            <w:pPr>
              <w:pStyle w:val="Compact"/>
              <w:jc w:val="left"/>
            </w:pPr>
            <w:r>
              <w:t xml:space="preserve">1</w:t>
            </w:r>
          </w:p>
        </w:tc>
        <w:tc>
          <w:tcPr/>
          <w:p>
            <w:pPr>
              <w:pStyle w:val="Compact"/>
              <w:jc w:val="left"/>
            </w:pPr>
            <w:r>
              <w:t xml:space="preserve">225,000,000</w:t>
            </w:r>
          </w:p>
        </w:tc>
        <w:tc>
          <w:tcPr/>
          <w:p>
            <w:pPr>
              <w:pStyle w:val="Compact"/>
              <w:jc w:val="left"/>
            </w:pPr>
            <w:r>
              <w:t xml:space="preserve">225,000,000</w:t>
            </w:r>
          </w:p>
        </w:tc>
      </w:tr>
      <w:tr>
        <w:tc>
          <w:tcPr/>
          <w:p>
            <w:pPr>
              <w:pStyle w:val="Compact"/>
              <w:jc w:val="left"/>
            </w:pPr>
            <w:r>
              <w:t xml:space="preserve">5</w:t>
            </w:r>
          </w:p>
        </w:tc>
        <w:tc>
          <w:tcPr/>
          <w:p>
            <w:pPr>
              <w:pStyle w:val="Compact"/>
              <w:jc w:val="left"/>
            </w:pPr>
            <w:r>
              <w:rPr>
                <w:bCs/>
                <w:b/>
              </w:rPr>
              <w:t xml:space="preserve">Regulatory Compliance &amp; Reporting</w:t>
            </w:r>
            <w:r>
              <w:br/>
            </w:r>
            <w:r>
              <w:t xml:space="preserve"> </w:t>
            </w:r>
            <w:r>
              <w:t xml:space="preserve">Preparation of mandatory technical reports for SKK Migas submission. Ensuring all engineering data meets the latest Indonesian upstream regulations.</w:t>
            </w:r>
            <w:r>
              <w:t xml:space="preserve"> </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702,000,000</w:t>
            </w:r>
          </w:p>
        </w:tc>
      </w:tr>
      <w:tr>
        <w:tc>
          <w:tcPr/>
          <w:p>
            <w:pPr>
              <w:pStyle w:val="Compact"/>
              <w:jc w:val="left"/>
            </w:pPr>
            <w:r>
              <w:t xml:space="preserve">VAT (PPN) 11%:</w:t>
            </w:r>
          </w:p>
        </w:tc>
        <w:tc>
          <w:tcPr/>
          <w:p>
            <w:pPr>
              <w:pStyle w:val="Compact"/>
              <w:jc w:val="left"/>
            </w:pPr>
            <w:r>
              <w:t xml:space="preserve">IDR 77,220,000</w:t>
            </w:r>
          </w:p>
        </w:tc>
      </w:tr>
      <w:tr>
        <w:tc>
          <w:tcPr/>
          <w:p>
            <w:pPr>
              <w:pStyle w:val="Compact"/>
              <w:jc w:val="left"/>
            </w:pPr>
            <w:r>
              <w:t xml:space="preserve">Withholding Tax (PPh 23) 2%:</w:t>
            </w:r>
          </w:p>
        </w:tc>
        <w:tc>
          <w:tcPr/>
          <w:p>
            <w:pPr>
              <w:pStyle w:val="Compact"/>
              <w:jc w:val="left"/>
            </w:pPr>
            <w:r>
              <w:t xml:space="preserve">- IDR 14,040,000</w:t>
            </w:r>
          </w:p>
        </w:tc>
      </w:tr>
      <w:tr>
        <w:tc>
          <w:tcPr/>
          <w:p>
            <w:pPr>
              <w:pStyle w:val="Compact"/>
              <w:jc w:val="left"/>
            </w:pPr>
            <w:r>
              <w:t xml:space="preserve">Net Payable Amount:</w:t>
            </w:r>
          </w:p>
        </w:tc>
        <w:tc>
          <w:tcPr/>
          <w:p>
            <w:pPr>
              <w:pStyle w:val="Compact"/>
              <w:jc w:val="left"/>
            </w:pPr>
            <w:r>
              <w:t xml:space="preserve">IDR 765,180,000</w:t>
            </w:r>
          </w:p>
        </w:tc>
      </w:tr>
    </w:tbl>
    <w:bookmarkStart w:id="25" w:name="payment-terms-conditions"/>
    <w:p>
      <w:pPr>
        <w:pStyle w:val="Heading4"/>
      </w:pPr>
      <w:r>
        <w:t xml:space="preserve">Payment Terms &amp;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Please reference Invoice Number</w:t>
      </w:r>
      <w:r>
        <w:t xml:space="preserve"> </w:t>
      </w:r>
      <w:r>
        <w:rPr>
          <w:bCs/>
          <w:b/>
        </w:rPr>
        <w:t xml:space="preserve">INV-JKT-2023-0892</w:t>
      </w:r>
      <w:r>
        <w:t xml:space="preserve"> </w:t>
      </w:r>
      <w:r>
        <w:t xml:space="preserve">on all payments.</w:t>
      </w:r>
    </w:p>
    <w:p>
      <w:pPr>
        <w:numPr>
          <w:ilvl w:val="0"/>
          <w:numId w:val="1001"/>
        </w:numPr>
        <w:pStyle w:val="Compact"/>
      </w:pPr>
      <w:r>
        <w:t xml:space="preserve">Late payments will incur a penalty of 2% per month on the outstanding balance.</w:t>
      </w:r>
    </w:p>
    <w:bookmarkEnd w:id="25"/>
    <w:bookmarkStart w:id="26" w:name="bank-transfer-details"/>
    <w:p>
      <w:pPr>
        <w:pStyle w:val="Heading4"/>
      </w:pPr>
      <w:r>
        <w:t xml:space="preserve">Bank Transfer Details:</w:t>
      </w:r>
    </w:p>
    <w:p>
      <w:pPr>
        <w:pStyle w:val="FirstParagraph"/>
      </w:pPr>
      <w:r>
        <w:rPr>
          <w:bCs/>
          <w:b/>
        </w:rPr>
        <w:t xml:space="preserve">Bank Name:</w:t>
      </w:r>
      <w:r>
        <w:t xml:space="preserve"> </w:t>
      </w:r>
      <w:r>
        <w:t xml:space="preserve">Bank Central Asia (BCA)</w:t>
      </w:r>
      <w:r>
        <w:br/>
      </w:r>
      <w:r>
        <w:rPr>
          <w:bCs/>
          <w:b/>
        </w:rPr>
        <w:t xml:space="preserve">Account Name:</w:t>
      </w:r>
      <w:r>
        <w:t xml:space="preserve"> </w:t>
      </w:r>
      <w:r>
        <w:t xml:space="preserve">PT Sumatra Energy Solutions</w:t>
      </w:r>
      <w:r>
        <w:br/>
      </w:r>
      <w:r>
        <w:rPr>
          <w:bCs/>
          <w:b/>
        </w:rPr>
        <w:t xml:space="preserve">Account Number:</w:t>
      </w:r>
      <w:r>
        <w:t xml:space="preserve"> </w:t>
      </w:r>
      <w:r>
        <w:t xml:space="preserve">123-456-7890</w:t>
      </w:r>
      <w:r>
        <w:br/>
      </w:r>
      <w:r>
        <w:rPr>
          <w:bCs/>
          <w:b/>
        </w:rPr>
        <w:t xml:space="preserve">Branch:</w:t>
      </w:r>
      <w:r>
        <w:t xml:space="preserve"> </w:t>
      </w:r>
      <w:r>
        <w:t xml:space="preserve">Indonesia Jakarta - Sudirman Branch</w:t>
      </w:r>
      <w:r>
        <w:br/>
      </w:r>
      <w:r>
        <w:rPr>
          <w:bCs/>
          <w:b/>
        </w:rPr>
        <w:t xml:space="preserve">SWIFT Code:</w:t>
      </w:r>
      <w:r>
        <w:t xml:space="preserve"> </w:t>
      </w:r>
      <w:r>
        <w:t xml:space="preserve">CENAIDJA</w:t>
      </w:r>
    </w:p>
    <w:bookmarkEnd w:id="26"/>
    <w:bookmarkStart w:id="27" w:name="important-notes"/>
    <w:p>
      <w:pPr>
        <w:pStyle w:val="Heading4"/>
      </w:pPr>
      <w:r>
        <w:t xml:space="preserve">Important Notes:</w:t>
      </w:r>
    </w:p>
    <w:p>
      <w:pPr>
        <w:pStyle w:val="FirstParagraph"/>
      </w:pPr>
      <w:r>
        <w:t xml:space="preserve">This document serves as an official</w:t>
      </w:r>
      <w:r>
        <w:t xml:space="preserve"> </w:t>
      </w:r>
      <w:r>
        <w:rPr>
          <w:bCs/>
          <w:b/>
        </w:rPr>
        <w:t xml:space="preserve">Invoice</w:t>
      </w:r>
      <w:r>
        <w:t xml:space="preserve"> </w:t>
      </w:r>
      <w:r>
        <w:t xml:space="preserve">for professional services rendered by qualified</w:t>
      </w:r>
      <w:r>
        <w:t xml:space="preserve"> </w:t>
      </w:r>
      <w:r>
        <w:rPr>
          <w:bCs/>
          <w:b/>
        </w:rPr>
        <w:t xml:space="preserve">Petroleum Engineer</w:t>
      </w:r>
      <w:r>
        <w:t xml:space="preserve"> </w:t>
      </w:r>
      <w:r>
        <w:t xml:space="preserve">personnel. All calculations regarding reservoir volume, production forecasts, and economic evaluations are based on the best available data as of the reporting date. Sumatra Energy Solutions guarantees the technical integrity of the work performed in accordance with industry standards (SPE/IPT) and local regulations in</w:t>
      </w:r>
      <w:r>
        <w:t xml:space="preserve"> </w:t>
      </w:r>
      <w:r>
        <w:rPr>
          <w:bCs/>
          <w:b/>
        </w:rPr>
        <w:t xml:space="preserve">Indonesia Jakarta</w:t>
      </w:r>
      <w:r>
        <w:t xml:space="preserve">. Please contact our finance department immediately if you have any discrepancies regarding the line items or tax calculations.</w:t>
      </w:r>
    </w:p>
    <w:bookmarkEnd w:id="27"/>
    <w:p>
      <w:pPr>
        <w:pStyle w:val="BodyText"/>
      </w:pPr>
      <w:r>
        <w:rPr>
          <w:bCs/>
          <w:b/>
        </w:rPr>
        <w:t xml:space="preserve">Authorized By:</w:t>
      </w:r>
    </w:p>
    <w:p>
      <w:pPr>
        <w:pStyle w:val="BodyText"/>
      </w:pPr>
      <w:r>
        <w:t xml:space="preserve">Dr. Andi Wijaya, P.E.</w:t>
      </w:r>
    </w:p>
    <w:p>
      <w:pPr>
        <w:pStyle w:val="BodyText"/>
      </w:pPr>
      <w:r>
        <w:t xml:space="preserve">Chief Technical Officer</w:t>
      </w:r>
    </w:p>
    <w:p>
      <w:pPr>
        <w:pStyle w:val="BodyText"/>
      </w:pPr>
      <w:r>
        <w:t xml:space="preserve">Sumatra Energy Solutions</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PT Nusantara Energi Utama</w:t>
      </w:r>
    </w:p>
    <w:p>
      <w:pPr>
        <w:pStyle w:val="BodyText"/>
      </w:pPr>
      <w:r>
        <w:t xml:space="preserve">Thank you for your business. We appreciate your trust in our Petroleum Engineering expertise.</w:t>
      </w:r>
    </w:p>
    <w:p>
      <w:pPr>
        <w:pStyle w:val="BodyText"/>
      </w:pPr>
      <w:r>
        <w:t xml:space="preserve">Sumatra Energy Solutions | Jl. Jend. Sudirman Kav. 52-53 | Indonesia Jakarta, 12190</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