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petrotech-engineering-solutions"/>
    <w:p>
      <w:pPr>
        <w:pStyle w:val="Heading1"/>
      </w:pPr>
      <w:r>
        <w:t xml:space="preserve">PetroTech Engineering Solutions</w:t>
      </w:r>
    </w:p>
    <w:p>
      <w:pPr>
        <w:pStyle w:val="FirstParagraph"/>
      </w:pPr>
      <w:r>
        <w:t xml:space="preserve">Specialized Petroleum Engineering Consultancy</w:t>
      </w:r>
    </w:p>
    <w:p>
      <w:pPr>
        <w:pStyle w:val="BodyText"/>
      </w:pPr>
      <w:r>
        <w:t xml:space="preserve">No. 42, Valiasr Street, Niavaran District</w:t>
      </w:r>
    </w:p>
    <w:p>
      <w:pPr>
        <w:pStyle w:val="BodyText"/>
      </w:pPr>
      <w:r>
        <w:t xml:space="preserve">Tehran, Iran</w:t>
      </w:r>
    </w:p>
    <w:p>
      <w:pPr>
        <w:pStyle w:val="BodyText"/>
      </w:pPr>
      <w:r>
        <w:t xml:space="preserve">Tel: +98 21 2200 5500 | Email: billing@petrotech-tehran.ir</w:t>
      </w:r>
    </w:p>
    <w:p>
      <w:pPr>
        <w:pStyle w:val="BodyText"/>
      </w:pPr>
      <w:r>
        <w:t xml:space="preserve">National ID: 10104589233 | Tax ID: 41100000000000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INV-IR-2023-0892</w:t>
      </w:r>
      <w:r>
        <w:t xml:space="preserve"> </w:t>
      </w:r>
      <w:r>
        <w:rPr>
          <w:bCs/>
          <w:b/>
        </w:rPr>
        <w:t xml:space="preserve">Date of Issue:</w:t>
      </w:r>
      <w:r>
        <w:t xml:space="preserve"> </w:t>
      </w:r>
      <w:r>
        <w:t xml:space="preserve">October 24, 2023</w:t>
      </w:r>
      <w:r>
        <w:t xml:space="preserve"> </w:t>
      </w:r>
      <w:r>
        <w:rPr>
          <w:bCs/>
          <w:b/>
        </w:rPr>
        <w:t xml:space="preserve">Due Date:</w:t>
      </w:r>
      <w:r>
        <w:t xml:space="preserve"> </w:t>
      </w:r>
      <w:r>
        <w:t xml:space="preserve">November 24, 2023</w:t>
      </w:r>
      <w:r>
        <w:t xml:space="preserve"> </w:t>
      </w:r>
      <w:r>
        <w:rPr>
          <w:bCs/>
          <w:b/>
        </w:rPr>
        <w:t xml:space="preserve">Project Reference:</w:t>
      </w:r>
      <w:r>
        <w:t xml:space="preserve"> </w:t>
      </w:r>
      <w:r>
        <w:t xml:space="preserve">TEHRAN-OIL-FIELD-EXP-04</w:t>
      </w:r>
    </w:p>
    <w:bookmarkEnd w:id="21"/>
    <w:bookmarkStart w:id="22" w:name="billed-to-client"/>
    <w:p>
      <w:pPr>
        <w:pStyle w:val="Heading3"/>
      </w:pPr>
      <w:r>
        <w:t xml:space="preserve">Billed To (Client)</w:t>
      </w:r>
    </w:p>
    <w:p>
      <w:pPr>
        <w:pStyle w:val="FirstParagraph"/>
      </w:pPr>
      <w:r>
        <w:rPr>
          <w:bCs/>
          <w:b/>
        </w:rPr>
        <w:t xml:space="preserve">National Iranian Oil Company (NIOC) - Exploration Division</w:t>
      </w:r>
    </w:p>
    <w:p>
      <w:pPr>
        <w:pStyle w:val="BodyText"/>
      </w:pPr>
      <w:r>
        <w:t xml:space="preserve">Attn: Procurement Department</w:t>
      </w:r>
    </w:p>
    <w:p>
      <w:pPr>
        <w:pStyle w:val="BodyText"/>
      </w:pPr>
      <w:r>
        <w:t xml:space="preserve">Shahrak-e Gharb, Tehran, Iran</w:t>
      </w:r>
    </w:p>
    <w:p>
      <w:pPr>
        <w:pStyle w:val="BodyText"/>
      </w:pPr>
      <w:r>
        <w:t xml:space="preserve">Contact: Mr. Ali Rezaei</w:t>
      </w:r>
    </w:p>
    <w:p>
      <w:pPr>
        <w:pStyle w:val="BodyText"/>
      </w:pPr>
      <w:r>
        <w:t xml:space="preserve">Email: procurement@nIOC.ir</w:t>
      </w:r>
    </w:p>
    <w:bookmarkEnd w:id="22"/>
    <w:bookmarkStart w:id="23" w:name="service-provider"/>
    <w:p>
      <w:pPr>
        <w:pStyle w:val="Heading3"/>
      </w:pPr>
      <w:r>
        <w:t xml:space="preserve">Service Provider</w:t>
      </w:r>
    </w:p>
    <w:p>
      <w:pPr>
        <w:pStyle w:val="FirstParagraph"/>
      </w:pPr>
      <w:r>
        <w:rPr>
          <w:bCs/>
          <w:b/>
        </w:rPr>
        <w:t xml:space="preserve">PetroTech Engineering Solutions</w:t>
      </w:r>
    </w:p>
    <w:p>
      <w:pPr>
        <w:pStyle w:val="BodyText"/>
      </w:pPr>
      <w:r>
        <w:t xml:space="preserve">Represented by: Dr. Sarah Ahmadi, Lead Petroleum Engineer</w:t>
      </w:r>
    </w:p>
    <w:p>
      <w:pPr>
        <w:pStyle w:val="BodyText"/>
      </w:pPr>
      <w:r>
        <w:t xml:space="preserve">License No: PE-IR-8821</w:t>
      </w:r>
    </w:p>
    <w:p>
      <w:pPr>
        <w:pStyle w:val="BodyText"/>
      </w:pPr>
      <w:r>
        <w:t xml:space="preserve">Bank: Bank Melli Iran</w:t>
      </w:r>
    </w:p>
    <w:p>
      <w:pPr>
        <w:pStyle w:val="BodyText"/>
      </w:pPr>
      <w:r>
        <w:t xml:space="preserve">Account No: 6104-3388-9900-1122</w:t>
      </w:r>
    </w:p>
    <w:bookmarkEnd w:id="23"/>
    <w:bookmarkStart w:id="24" w:name="project-scope-and-technical-description"/>
    <w:p>
      <w:pPr>
        <w:pStyle w:val="Heading3"/>
      </w:pPr>
      <w:r>
        <w:t xml:space="preserve">Project Scope and Technical Description</w:t>
      </w:r>
    </w:p>
    <w:p>
      <w:pPr>
        <w:pStyle w:val="FirstParagraph"/>
      </w:pPr>
      <w:r>
        <w:t xml:space="preserve">This Invoice serves as a formal request for payment regarding the comprehensive petroleum engineering services rendered by PetroTech Engineering Solutions to the National Iranian Oil Company. The services were executed strictly within the jurisdiction of Tehran, Iran, adhering to the highest international standards of reservoir management and drilling optimization.</w:t>
      </w:r>
    </w:p>
    <w:p>
      <w:pPr>
        <w:pStyle w:val="BodyText"/>
      </w:pPr>
      <w:r>
        <w:t xml:space="preserve">The scope of work involved a detailed reservoir simulation study for the designated exploration block in the Tehran province vicinity. Our team of senior Petroleum Engineers conducted a rigorous analysis of subsurface data, including seismic interpretation, well log analysis, and core sample evaluation. The objective was to optimize the recovery factor of the existing hydrocarbon reserves while minimizing environmental impact. This project required extensive field visits to the Tehran headquarters for data synchronization and strategic planning meetings with the client's technical committee.</w:t>
      </w:r>
    </w:p>
    <w:p>
      <w:pPr>
        <w:pStyle w:val="BodyText"/>
      </w:pPr>
      <w:r>
        <w:t xml:space="preserve">Furthermore, the services included the design of an enhanced oil recovery (EOR) strategy tailored to the specific geological characteristics of the Iranian oil fields. The engineering team utilized advanced numerical modeling software to predict fluid flow dynamics and pressure maintenance requirements. All deliverables, including technical reports, simulation models, and feasibility studies, have been submitted to the client in Tehran and approved by the relevant authorities. This Invoice reflects the professional expertise, technical resources, and time invested by our Petroleum Engineers to ensure the success of this critical energy project in Iran.</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(IRR)</w:t>
            </w:r>
          </w:p>
        </w:tc>
        <w:tc>
          <w:tcPr/>
          <w:p>
            <w:pPr>
              <w:pStyle w:val="Compact"/>
              <w:jc w:val="left"/>
            </w:pPr>
            <w:r>
              <w:t xml:space="preserve">Total Amount (IRR)</w:t>
            </w:r>
          </w:p>
        </w:tc>
      </w:tr>
      <w:tr>
        <w:tc>
          <w:tcPr/>
          <w:p>
            <w:pPr>
              <w:pStyle w:val="Compact"/>
              <w:jc w:val="left"/>
            </w:pPr>
            <w:r>
              <w:t xml:space="preserve">1</w:t>
            </w:r>
          </w:p>
        </w:tc>
        <w:tc>
          <w:tcPr/>
          <w:p>
            <w:pPr>
              <w:pStyle w:val="Compact"/>
              <w:jc w:val="left"/>
            </w:pPr>
            <w:r>
              <w:t xml:space="preserve">Reservoir Characterization and Static Modeling by Senior Petroleum Engineer</w:t>
            </w:r>
          </w:p>
        </w:tc>
        <w:tc>
          <w:tcPr/>
          <w:p>
            <w:pPr>
              <w:pStyle w:val="Compact"/>
              <w:jc w:val="left"/>
            </w:pPr>
            <w:r>
              <w:t xml:space="preserve">120 Hours</w:t>
            </w:r>
          </w:p>
        </w:tc>
        <w:tc>
          <w:tcPr/>
          <w:p>
            <w:pPr>
              <w:pStyle w:val="Compact"/>
              <w:jc w:val="left"/>
            </w:pPr>
            <w:r>
              <w:t xml:space="preserve">5,000,000</w:t>
            </w:r>
          </w:p>
        </w:tc>
        <w:tc>
          <w:tcPr/>
          <w:p>
            <w:pPr>
              <w:pStyle w:val="Compact"/>
              <w:jc w:val="left"/>
            </w:pPr>
            <w:r>
              <w:t xml:space="preserve">600,000,000</w:t>
            </w:r>
          </w:p>
        </w:tc>
      </w:tr>
      <w:tr>
        <w:tc>
          <w:tcPr/>
          <w:p>
            <w:pPr>
              <w:pStyle w:val="Compact"/>
              <w:jc w:val="left"/>
            </w:pPr>
            <w:r>
              <w:t xml:space="preserve">2</w:t>
            </w:r>
          </w:p>
        </w:tc>
        <w:tc>
          <w:tcPr/>
          <w:p>
            <w:pPr>
              <w:pStyle w:val="Compact"/>
              <w:jc w:val="left"/>
            </w:pPr>
            <w:r>
              <w:t xml:space="preserve">Dynamic Simulation and History Matching Analysis</w:t>
            </w:r>
          </w:p>
        </w:tc>
        <w:tc>
          <w:tcPr/>
          <w:p>
            <w:pPr>
              <w:pStyle w:val="Compact"/>
              <w:jc w:val="left"/>
            </w:pPr>
            <w:r>
              <w:t xml:space="preserve">80 Hours</w:t>
            </w:r>
          </w:p>
        </w:tc>
        <w:tc>
          <w:tcPr/>
          <w:p>
            <w:pPr>
              <w:pStyle w:val="Compact"/>
              <w:jc w:val="left"/>
            </w:pPr>
            <w:r>
              <w:t xml:space="preserve">5,500,000</w:t>
            </w:r>
          </w:p>
        </w:tc>
        <w:tc>
          <w:tcPr/>
          <w:p>
            <w:pPr>
              <w:pStyle w:val="Compact"/>
              <w:jc w:val="left"/>
            </w:pPr>
            <w:r>
              <w:t xml:space="preserve">440,000,000</w:t>
            </w:r>
          </w:p>
        </w:tc>
      </w:tr>
      <w:tr>
        <w:tc>
          <w:tcPr/>
          <w:p>
            <w:pPr>
              <w:pStyle w:val="Compact"/>
              <w:jc w:val="left"/>
            </w:pPr>
            <w:r>
              <w:t xml:space="preserve">3</w:t>
            </w:r>
          </w:p>
        </w:tc>
        <w:tc>
          <w:tcPr/>
          <w:p>
            <w:pPr>
              <w:pStyle w:val="Compact"/>
              <w:jc w:val="left"/>
            </w:pPr>
            <w:r>
              <w:t xml:space="preserve">Enhanced Oil Recovery (EOR) Strategy Design and Feasibility Study</w:t>
            </w:r>
          </w:p>
        </w:tc>
        <w:tc>
          <w:tcPr/>
          <w:p>
            <w:pPr>
              <w:pStyle w:val="Compact"/>
              <w:jc w:val="left"/>
            </w:pPr>
            <w:r>
              <w:t xml:space="preserve">1 Unit</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4</w:t>
            </w:r>
          </w:p>
        </w:tc>
        <w:tc>
          <w:tcPr/>
          <w:p>
            <w:pPr>
              <w:pStyle w:val="Compact"/>
              <w:jc w:val="left"/>
            </w:pPr>
            <w:r>
              <w:t xml:space="preserve">Well Performance Analysis and Production Optimization Recommendations</w:t>
            </w:r>
          </w:p>
        </w:tc>
        <w:tc>
          <w:tcPr/>
          <w:p>
            <w:pPr>
              <w:pStyle w:val="Compact"/>
              <w:jc w:val="left"/>
            </w:pPr>
            <w:r>
              <w:t xml:space="preserve">60 Hours</w:t>
            </w:r>
          </w:p>
        </w:tc>
        <w:tc>
          <w:tcPr/>
          <w:p>
            <w:pPr>
              <w:pStyle w:val="Compact"/>
              <w:jc w:val="left"/>
            </w:pPr>
            <w:r>
              <w:t xml:space="preserve">4,500,000</w:t>
            </w:r>
          </w:p>
        </w:tc>
        <w:tc>
          <w:tcPr/>
          <w:p>
            <w:pPr>
              <w:pStyle w:val="Compact"/>
              <w:jc w:val="left"/>
            </w:pPr>
            <w:r>
              <w:t xml:space="preserve">270,000,000</w:t>
            </w:r>
          </w:p>
        </w:tc>
      </w:tr>
      <w:tr>
        <w:tc>
          <w:tcPr/>
          <w:p>
            <w:pPr>
              <w:pStyle w:val="Compact"/>
              <w:jc w:val="left"/>
            </w:pPr>
            <w:r>
              <w:t xml:space="preserve">5</w:t>
            </w:r>
          </w:p>
        </w:tc>
        <w:tc>
          <w:tcPr/>
          <w:p>
            <w:pPr>
              <w:pStyle w:val="Compact"/>
              <w:jc w:val="left"/>
            </w:pPr>
            <w:r>
              <w:t xml:space="preserve">Technical Reporting and Presentation to NIOC Management in Tehran</w:t>
            </w:r>
          </w:p>
        </w:tc>
        <w:tc>
          <w:tcPr/>
          <w:p>
            <w:pPr>
              <w:pStyle w:val="Compact"/>
              <w:jc w:val="left"/>
            </w:pPr>
            <w:r>
              <w:t xml:space="preserve">1 Unit</w:t>
            </w:r>
          </w:p>
        </w:tc>
        <w:tc>
          <w:tcPr/>
          <w:p>
            <w:pPr>
              <w:pStyle w:val="Compact"/>
              <w:jc w:val="left"/>
            </w:pPr>
            <w:r>
              <w:t xml:space="preserve">100,000,000</w:t>
            </w:r>
          </w:p>
        </w:tc>
        <w:tc>
          <w:tcPr/>
          <w:p>
            <w:pPr>
              <w:pStyle w:val="Compact"/>
              <w:jc w:val="left"/>
            </w:pPr>
            <w:r>
              <w:t xml:space="preserve">100,000,000</w:t>
            </w:r>
          </w:p>
        </w:tc>
      </w:tr>
      <w:tr>
        <w:tc>
          <w:tcPr/>
          <w:p>
            <w:pPr>
              <w:pStyle w:val="Compact"/>
              <w:jc w:val="left"/>
            </w:pPr>
            <w:r>
              <w:t xml:space="preserve">6</w:t>
            </w:r>
          </w:p>
        </w:tc>
        <w:tc>
          <w:tcPr/>
          <w:p>
            <w:pPr>
              <w:pStyle w:val="Compact"/>
              <w:jc w:val="left"/>
            </w:pPr>
            <w:r>
              <w:t xml:space="preserve">Software Licensing Fees for Reservoir Simulation Tools</w:t>
            </w:r>
          </w:p>
        </w:tc>
        <w:tc>
          <w:tcPr/>
          <w:p>
            <w:pPr>
              <w:pStyle w:val="Compact"/>
              <w:jc w:val="left"/>
            </w:pPr>
            <w:r>
              <w:t xml:space="preserve">3 Months</w:t>
            </w:r>
          </w:p>
        </w:tc>
        <w:tc>
          <w:tcPr/>
          <w:p>
            <w:pPr>
              <w:pStyle w:val="Compact"/>
              <w:jc w:val="left"/>
            </w:pPr>
            <w:r>
              <w:t xml:space="preserve">50,000,000</w:t>
            </w:r>
          </w:p>
        </w:tc>
        <w:tc>
          <w:tcPr/>
          <w:p>
            <w:pPr>
              <w:pStyle w:val="Compact"/>
              <w:jc w:val="left"/>
            </w:pPr>
            <w:r>
              <w:t xml:space="preserve">150,000,000</w:t>
            </w:r>
          </w:p>
        </w:tc>
      </w:tr>
    </w:tbl>
    <w:p>
      <w:pPr>
        <w:pStyle w:val="BodyText"/>
      </w:pPr>
      <w:r>
        <w:t xml:space="preserve">Subtotal:</w:t>
      </w:r>
      <w:r>
        <w:t xml:space="preserve"> </w:t>
      </w:r>
      <w:r>
        <w:t xml:space="preserve">1,910,000,000 IRR</w:t>
      </w:r>
    </w:p>
    <w:p>
      <w:pPr>
        <w:pStyle w:val="BodyText"/>
      </w:pPr>
      <w:r>
        <w:t xml:space="preserve">Value Added Tax (VAT) - 9%:</w:t>
      </w:r>
      <w:r>
        <w:t xml:space="preserve"> </w:t>
      </w:r>
      <w:r>
        <w:t xml:space="preserve">171,900,000 IRR</w:t>
      </w:r>
    </w:p>
    <w:p>
      <w:pPr>
        <w:pStyle w:val="BodyText"/>
      </w:pPr>
      <w:r>
        <w:t xml:space="preserve">Withholding Tax (if applicable):</w:t>
      </w:r>
      <w:r>
        <w:t xml:space="preserve"> </w:t>
      </w:r>
      <w:r>
        <w:t xml:space="preserve">0 IRR</w:t>
      </w:r>
    </w:p>
    <w:p>
      <w:pPr>
        <w:pStyle w:val="BodyText"/>
      </w:pPr>
      <w:r>
        <w:t xml:space="preserve">Total Due:</w:t>
      </w:r>
      <w:r>
        <w:t xml:space="preserve"> </w:t>
      </w:r>
      <w:r>
        <w:t xml:space="preserve">2,081,900,000 IRR</w:t>
      </w:r>
    </w:p>
    <w:p>
      <w:pPr>
        <w:pStyle w:val="BodyText"/>
      </w:pPr>
      <w:r>
        <w:t xml:space="preserve">Amount in words: Two Billion, Eighty-One Million, Nine Hundred Thousand Iranian Rials.</w:t>
      </w:r>
    </w:p>
    <w:bookmarkStart w:id="25" w:name="payment-terms-and-instructions"/>
    <w:p>
      <w:pPr>
        <w:pStyle w:val="Heading3"/>
      </w:pPr>
      <w:r>
        <w:t xml:space="preserve">Payment Terms and Instructions</w:t>
      </w:r>
    </w:p>
    <w:p>
      <w:pPr>
        <w:numPr>
          <w:ilvl w:val="0"/>
          <w:numId w:val="1001"/>
        </w:numPr>
        <w:pStyle w:val="Compact"/>
      </w:pPr>
      <w:r>
        <w:rPr>
          <w:bCs/>
          <w:b/>
        </w:rPr>
        <w:t xml:space="preserve">Currency:</w:t>
      </w:r>
      <w:r>
        <w:t xml:space="preserve"> </w:t>
      </w:r>
      <w:r>
        <w:t xml:space="preserve">All amounts are denominated in Iranian Rials (IRR).</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Bank Transfer:</w:t>
      </w:r>
      <w:r>
        <w:t xml:space="preserve"> </w:t>
      </w:r>
      <w:r>
        <w:t xml:space="preserve">Please transfer funds to Bank Melli Iran, Branch: Valiasr, Tehran.</w:t>
      </w:r>
    </w:p>
    <w:p>
      <w:pPr>
        <w:numPr>
          <w:ilvl w:val="0"/>
          <w:numId w:val="1001"/>
        </w:numPr>
        <w:pStyle w:val="Compact"/>
      </w:pPr>
      <w:r>
        <w:rPr>
          <w:bCs/>
          <w:b/>
        </w:rPr>
        <w:t xml:space="preserve">Account Title:</w:t>
      </w:r>
      <w:r>
        <w:t xml:space="preserve"> </w:t>
      </w:r>
      <w:r>
        <w:t xml:space="preserve">PetroTech Engineering Solutions Co.</w:t>
      </w:r>
    </w:p>
    <w:p>
      <w:pPr>
        <w:numPr>
          <w:ilvl w:val="0"/>
          <w:numId w:val="1001"/>
        </w:numPr>
        <w:pStyle w:val="Compact"/>
      </w:pPr>
      <w:r>
        <w:rPr>
          <w:bCs/>
          <w:b/>
        </w:rPr>
        <w:t xml:space="preserve">IBAN:</w:t>
      </w:r>
      <w:r>
        <w:t xml:space="preserve"> </w:t>
      </w:r>
      <w:r>
        <w:t xml:space="preserve">IR600140000000000000112233</w:t>
      </w:r>
    </w:p>
    <w:p>
      <w:pPr>
        <w:numPr>
          <w:ilvl w:val="0"/>
          <w:numId w:val="1001"/>
        </w:numPr>
        <w:pStyle w:val="Compact"/>
      </w:pPr>
      <w:r>
        <w:rPr>
          <w:bCs/>
          <w:b/>
        </w:rPr>
        <w:t xml:space="preserve">Reference:</w:t>
      </w:r>
      <w:r>
        <w:t xml:space="preserve"> </w:t>
      </w:r>
      <w:r>
        <w:t xml:space="preserve">Please use Invoice Number INV-IR-2023-0892 as the payment reference.</w:t>
      </w:r>
    </w:p>
    <w:p>
      <w:pPr>
        <w:numPr>
          <w:ilvl w:val="0"/>
          <w:numId w:val="1001"/>
        </w:numPr>
        <w:pStyle w:val="Compact"/>
      </w:pPr>
      <w:r>
        <w:rPr>
          <w:bCs/>
          <w:b/>
        </w:rPr>
        <w:t xml:space="preserve">Late Payment:</w:t>
      </w:r>
      <w:r>
        <w:t xml:space="preserve"> </w:t>
      </w:r>
      <w:r>
        <w:t xml:space="preserve">A late fee of 2% per month will be applied to overdue balances in accordance with Iranian commercial law.</w:t>
      </w:r>
    </w:p>
    <w:bookmarkEnd w:id="25"/>
    <w:p>
      <w:pPr>
        <w:pStyle w:val="FirstParagraph"/>
      </w:pPr>
      <w:r>
        <w:t xml:space="preserve">Company Stamp</w:t>
      </w:r>
    </w:p>
    <w:p>
      <w:pPr>
        <w:pStyle w:val="BodyText"/>
      </w:pPr>
      <w:r>
        <w:t xml:space="preserve">Authorized Signature</w:t>
      </w:r>
      <w:r>
        <w:br/>
      </w:r>
      <w:r>
        <w:t xml:space="preserve">PetroTech Engineering Solutions</w:t>
      </w:r>
    </w:p>
    <w:p>
      <w:pPr>
        <w:pStyle w:val="BodyText"/>
      </w:pPr>
      <w:r>
        <w:t xml:space="preserve">Client Stamp</w:t>
      </w:r>
    </w:p>
    <w:p>
      <w:pPr>
        <w:pStyle w:val="BodyText"/>
      </w:pPr>
      <w:r>
        <w:t xml:space="preserve">Received By</w:t>
      </w:r>
      <w:r>
        <w:br/>
      </w:r>
      <w:r>
        <w:t xml:space="preserve">National Iranian Oil Company (NIOC)</w:t>
      </w:r>
    </w:p>
    <w:p>
      <w:pPr>
        <w:pStyle w:val="BodyText"/>
      </w:pPr>
      <w:r>
        <w:t xml:space="preserve">Thank you for your business. PetroTech Engineering Solutions is committed to advancing petroleum engineering excellence in Iran.</w:t>
      </w:r>
    </w:p>
    <w:p>
      <w:pPr>
        <w:pStyle w:val="BodyText"/>
      </w:pPr>
      <w:r>
        <w:t xml:space="preserve">This is a computer-generated Invoice and does not require a physical signature if transmitted electronically via secure channels.</w:t>
      </w:r>
    </w:p>
    <w:p>
      <w:pPr>
        <w:pStyle w:val="BodyText"/>
      </w:pPr>
      <w:r>
        <w:t xml:space="preserve">© 2023 PetroTech Engineering Solutions. All Rights Reserved.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2026-10-10T02:09:47Z</dcterms:created>
  <dcterms:modified xsi:type="dcterms:W3CDTF">2026-10-10T02:09:47Z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