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Petroleum</w:t>
      </w:r>
      <w:r>
        <w:t xml:space="preserve"> </w:t>
      </w:r>
      <w:r>
        <w:t xml:space="preserve">Engineering</w:t>
      </w:r>
      <w:r>
        <w:t xml:space="preserve"> </w:t>
      </w:r>
      <w:r>
        <w:t xml:space="preserve">Services</w:t>
      </w:r>
    </w:p>
    <w:bookmarkStart w:id="20" w:name="negev-energy-solutions-ltd."/>
    <w:p>
      <w:pPr>
        <w:pStyle w:val="Heading1"/>
      </w:pPr>
      <w:r>
        <w:t xml:space="preserve">Negev Energy Solutions Ltd.</w:t>
      </w:r>
    </w:p>
    <w:p>
      <w:pPr>
        <w:pStyle w:val="FirstParagraph"/>
      </w:pPr>
      <w:r>
        <w:t xml:space="preserve">Specialized Petroleum Engineering &amp; Consulting</w:t>
      </w:r>
    </w:p>
    <w:p>
      <w:pPr>
        <w:pStyle w:val="BodyText"/>
      </w:pPr>
      <w:r>
        <w:t xml:space="preserve">12 HaYarkon Street, Ramat Aviv</w:t>
      </w:r>
    </w:p>
    <w:p>
      <w:pPr>
        <w:pStyle w:val="BodyText"/>
      </w:pPr>
      <w:r>
        <w:t xml:space="preserve">Tel Aviv-Yafo, Israel 6971001</w:t>
      </w:r>
    </w:p>
    <w:p>
      <w:pPr>
        <w:pStyle w:val="BodyText"/>
      </w:pPr>
      <w:r>
        <w:t xml:space="preserve">VAT ID: 517000000</w:t>
      </w:r>
    </w:p>
    <w:p>
      <w:pPr>
        <w:pStyle w:val="BodyText"/>
      </w:pPr>
      <w:r>
        <w:t xml:space="preserve">Email: billing@negevsolutions.co.il</w:t>
      </w:r>
    </w:p>
    <w:p>
      <w:pPr>
        <w:pStyle w:val="BodyText"/>
      </w:pPr>
      <w:r>
        <w:t xml:space="preserve">Phone: +972-3-555-0199</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INV-2023-10-458</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Project Reference:</w:t>
      </w:r>
      <w:r>
        <w:t xml:space="preserve"> </w:t>
      </w:r>
      <w:r>
        <w:t xml:space="preserve">LEVANT-OFFSHORE-2023-Q4</w:t>
      </w:r>
    </w:p>
    <w:bookmarkEnd w:id="21"/>
    <w:bookmarkStart w:id="22" w:name="service-provider-petroleum-engineer"/>
    <w:p>
      <w:pPr>
        <w:pStyle w:val="Heading3"/>
      </w:pPr>
      <w:r>
        <w:t xml:space="preserve">Service Provider (Petroleum Engineer)</w:t>
      </w:r>
    </w:p>
    <w:p>
      <w:pPr>
        <w:pStyle w:val="FirstParagraph"/>
      </w:pPr>
      <w:r>
        <w:rPr>
          <w:bCs/>
          <w:b/>
        </w:rPr>
        <w:t xml:space="preserve">Dr. Eli Cohen, P.E.</w:t>
      </w:r>
    </w:p>
    <w:p>
      <w:pPr>
        <w:pStyle w:val="BodyText"/>
      </w:pPr>
      <w:r>
        <w:t xml:space="preserve">Senior Petroleum Engineer</w:t>
      </w:r>
    </w:p>
    <w:p>
      <w:pPr>
        <w:pStyle w:val="BodyText"/>
      </w:pPr>
      <w:r>
        <w:t xml:space="preserve">License No: IL-PE-8842</w:t>
      </w:r>
    </w:p>
    <w:p>
      <w:pPr>
        <w:pStyle w:val="BodyText"/>
      </w:pPr>
      <w:r>
        <w:t xml:space="preserve">Negev Energy Solutions Ltd.</w:t>
      </w:r>
    </w:p>
    <w:p>
      <w:pPr>
        <w:pStyle w:val="BodyText"/>
      </w:pPr>
      <w:r>
        <w:t xml:space="preserve">Tel Aviv, Israel</w:t>
      </w:r>
    </w:p>
    <w:bookmarkEnd w:id="22"/>
    <w:bookmarkStart w:id="23" w:name="bill-to"/>
    <w:p>
      <w:pPr>
        <w:pStyle w:val="Heading3"/>
      </w:pPr>
      <w:r>
        <w:t xml:space="preserve">Bill To</w:t>
      </w:r>
    </w:p>
    <w:p>
      <w:pPr>
        <w:pStyle w:val="FirstParagraph"/>
      </w:pPr>
      <w:r>
        <w:rPr>
          <w:bCs/>
          <w:b/>
        </w:rPr>
        <w:t xml:space="preserve">Mediterranean Hydrocarbons Corp.</w:t>
      </w:r>
    </w:p>
    <w:p>
      <w:pPr>
        <w:pStyle w:val="BodyText"/>
      </w:pPr>
      <w:r>
        <w:t xml:space="preserve">Attn: Procurement Department</w:t>
      </w:r>
    </w:p>
    <w:p>
      <w:pPr>
        <w:pStyle w:val="BodyText"/>
      </w:pPr>
      <w:r>
        <w:t xml:space="preserve">45 Rothschild Boulevard</w:t>
      </w:r>
    </w:p>
    <w:p>
      <w:pPr>
        <w:pStyle w:val="BodyText"/>
      </w:pPr>
      <w:r>
        <w:t xml:space="preserve">Tel Aviv-Yafo, Israel 6688101</w:t>
      </w:r>
    </w:p>
    <w:p>
      <w:pPr>
        <w:pStyle w:val="BodyText"/>
      </w:pPr>
      <w:r>
        <w:t xml:space="preserve">VAT ID: 518000000</w:t>
      </w:r>
    </w:p>
    <w:bookmarkEnd w:id="23"/>
    <w:bookmarkStart w:id="24" w:name="Xb312e18f68e797beb157de2976e4394f0e16999"/>
    <w:p>
      <w:pPr>
        <w:pStyle w:val="Heading3"/>
      </w:pPr>
      <w:r>
        <w:t xml:space="preserve">Scope of Work: Petroleum Engineering Consultation in Israel Tel Aviv Region</w:t>
      </w:r>
    </w:p>
    <w:p>
      <w:pPr>
        <w:pStyle w:val="FirstParagraph"/>
      </w:pPr>
      <w:r>
        <w:t xml:space="preserve">This Invoice represents the professional fees for specialized petroleum engineering services rendered by Negev Energy Solutions Ltd., operating out of Israel Tel Aviv. The services provided were critical to the optimization of hydrocarbon extraction processes and reservoir management strategies for the client's offshore assets. As a leading Petroleum Engineer firm based in the heart of Israel Tel Aviv, we have applied advanced technical methodologies to ensure maximum efficiency and regulatory compliance within the Israeli energy sector.</w:t>
      </w:r>
    </w:p>
    <w:p>
      <w:pPr>
        <w:pStyle w:val="BodyText"/>
      </w:pPr>
      <w:r>
        <w:t xml:space="preserve">The project involved a comprehensive analysis of reservoir data, well performance evaluation, and the development of enhanced oil recovery (EOR) techniques. Our team of Petroleum Engineers conducted detailed simulations to predict fluid flow dynamics and optimize production rates. This work was executed in strict accordance with the standards set by the Israeli Ministry of Energy and Water, ensuring that all operations in Israel Tel Aviv and surrounding offshore zones meet the highest safety and environmental criteria.</w:t>
      </w:r>
    </w:p>
    <w:bookmarkEnd w:id="24"/>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Price (ILS)</w:t>
            </w:r>
          </w:p>
        </w:tc>
        <w:tc>
          <w:tcPr/>
          <w:p>
            <w:pPr>
              <w:pStyle w:val="Compact"/>
              <w:jc w:val="left"/>
            </w:pPr>
            <w:r>
              <w:t xml:space="preserve">Total (ILS)</w:t>
            </w:r>
          </w:p>
        </w:tc>
        <w:tc>
          <w:tcPr/>
          <w:p>
            <w:pPr>
              <w:pStyle w:val="Compact"/>
              <w:jc w:val="left"/>
            </w:pPr>
            <w:r>
              <w:t xml:space="preserve">VAT (17%)</w:t>
            </w:r>
          </w:p>
        </w:tc>
      </w:tr>
      <w:tr>
        <w:tc>
          <w:tcPr/>
          <w:p>
            <w:pPr>
              <w:pStyle w:val="Compact"/>
              <w:jc w:val="left"/>
            </w:pPr>
            <w:r>
              <w:t xml:space="preserve">1</w:t>
            </w:r>
          </w:p>
        </w:tc>
        <w:tc>
          <w:tcPr/>
          <w:p>
            <w:pPr>
              <w:pStyle w:val="Compact"/>
              <w:jc w:val="left"/>
            </w:pPr>
            <w:r>
              <w:rPr>
                <w:bCs/>
                <w:b/>
              </w:rPr>
              <w:t xml:space="preserve">Reservoir Simulation &amp; Modeling</w:t>
            </w:r>
            <w:r>
              <w:br/>
            </w:r>
            <w:r>
              <w:t xml:space="preserve">Advanced 3D reservoir modeling using industry-standard software to analyze pressure depletion and saturation levels. Conducted by senior Petroleum Engineer staff in Israel Tel Aviv.</w:t>
            </w:r>
          </w:p>
        </w:tc>
        <w:tc>
          <w:tcPr/>
          <w:p>
            <w:pPr>
              <w:pStyle w:val="Compact"/>
              <w:jc w:val="left"/>
            </w:pPr>
            <w:r>
              <w:t xml:space="preserve">40 Hours</w:t>
            </w:r>
          </w:p>
        </w:tc>
        <w:tc>
          <w:tcPr/>
          <w:p>
            <w:pPr>
              <w:pStyle w:val="Compact"/>
              <w:jc w:val="left"/>
            </w:pPr>
            <w:r>
              <w:t xml:space="preserve">1,200.00</w:t>
            </w:r>
          </w:p>
        </w:tc>
        <w:tc>
          <w:tcPr/>
          <w:p>
            <w:pPr>
              <w:pStyle w:val="Compact"/>
              <w:jc w:val="left"/>
            </w:pPr>
            <w:r>
              <w:t xml:space="preserve">48,000.00</w:t>
            </w:r>
          </w:p>
        </w:tc>
        <w:tc>
          <w:tcPr/>
          <w:p>
            <w:pPr>
              <w:pStyle w:val="Compact"/>
              <w:jc w:val="left"/>
            </w:pPr>
            <w:r>
              <w:t xml:space="preserve">8,160.00</w:t>
            </w:r>
          </w:p>
        </w:tc>
      </w:tr>
      <w:tr>
        <w:tc>
          <w:tcPr/>
          <w:p>
            <w:pPr>
              <w:pStyle w:val="Compact"/>
              <w:jc w:val="left"/>
            </w:pPr>
            <w:r>
              <w:t xml:space="preserve">2</w:t>
            </w:r>
          </w:p>
        </w:tc>
        <w:tc>
          <w:tcPr/>
          <w:p>
            <w:pPr>
              <w:pStyle w:val="Compact"/>
              <w:jc w:val="left"/>
            </w:pPr>
            <w:r>
              <w:rPr>
                <w:bCs/>
                <w:b/>
              </w:rPr>
              <w:t xml:space="preserve">Well Performance Analysis</w:t>
            </w:r>
            <w:r>
              <w:br/>
            </w:r>
            <w:r>
              <w:t xml:space="preserve">Diagnostic analysis of 5 offshore wells to identify bottlenecks and recommend completion strategies. Includes data interpretation and reporting.</w:t>
            </w:r>
          </w:p>
        </w:tc>
        <w:tc>
          <w:tcPr/>
          <w:p>
            <w:pPr>
              <w:pStyle w:val="Compact"/>
              <w:jc w:val="left"/>
            </w:pPr>
            <w:r>
              <w:t xml:space="preserve">5 Units</w:t>
            </w:r>
          </w:p>
        </w:tc>
        <w:tc>
          <w:tcPr/>
          <w:p>
            <w:pPr>
              <w:pStyle w:val="Compact"/>
              <w:jc w:val="left"/>
            </w:pPr>
            <w:r>
              <w:t xml:space="preserve">3,500.00</w:t>
            </w:r>
          </w:p>
        </w:tc>
        <w:tc>
          <w:tcPr/>
          <w:p>
            <w:pPr>
              <w:pStyle w:val="Compact"/>
              <w:jc w:val="left"/>
            </w:pPr>
            <w:r>
              <w:t xml:space="preserve">17,500.00</w:t>
            </w:r>
          </w:p>
        </w:tc>
        <w:tc>
          <w:tcPr/>
          <w:p>
            <w:pPr>
              <w:pStyle w:val="Compact"/>
              <w:jc w:val="left"/>
            </w:pPr>
            <w:r>
              <w:t xml:space="preserve">2,975.00</w:t>
            </w:r>
          </w:p>
        </w:tc>
      </w:tr>
      <w:tr>
        <w:tc>
          <w:tcPr/>
          <w:p>
            <w:pPr>
              <w:pStyle w:val="Compact"/>
              <w:jc w:val="left"/>
            </w:pPr>
            <w:r>
              <w:t xml:space="preserve">3</w:t>
            </w:r>
          </w:p>
        </w:tc>
        <w:tc>
          <w:tcPr/>
          <w:p>
            <w:pPr>
              <w:pStyle w:val="Compact"/>
              <w:jc w:val="left"/>
            </w:pPr>
            <w:r>
              <w:rPr>
                <w:bCs/>
                <w:b/>
              </w:rPr>
              <w:t xml:space="preserve">Enhanced Oil Recovery (EOR) Strategy</w:t>
            </w:r>
            <w:r>
              <w:br/>
            </w:r>
            <w:r>
              <w:t xml:space="preserve">Development of a technical proposal for gas injection methods to improve recovery factors. Strategic planning session held at our Israel Tel Aviv headquarters.</w:t>
            </w:r>
          </w:p>
        </w:tc>
        <w:tc>
          <w:tcPr/>
          <w:p>
            <w:pPr>
              <w:pStyle w:val="Compact"/>
              <w:jc w:val="left"/>
            </w:pPr>
            <w:r>
              <w:t xml:space="preserve">1 Project</w:t>
            </w:r>
          </w:p>
        </w:tc>
        <w:tc>
          <w:tcPr/>
          <w:p>
            <w:pPr>
              <w:pStyle w:val="Compact"/>
              <w:jc w:val="left"/>
            </w:pPr>
            <w:r>
              <w:t xml:space="preserve">15,000.00</w:t>
            </w:r>
          </w:p>
        </w:tc>
        <w:tc>
          <w:tcPr/>
          <w:p>
            <w:pPr>
              <w:pStyle w:val="Compact"/>
              <w:jc w:val="left"/>
            </w:pPr>
            <w:r>
              <w:t xml:space="preserve">15,000.00</w:t>
            </w:r>
          </w:p>
        </w:tc>
        <w:tc>
          <w:tcPr/>
          <w:p>
            <w:pPr>
              <w:pStyle w:val="Compact"/>
              <w:jc w:val="left"/>
            </w:pPr>
            <w:r>
              <w:t xml:space="preserve">2,550.00</w:t>
            </w:r>
          </w:p>
        </w:tc>
      </w:tr>
      <w:tr>
        <w:tc>
          <w:tcPr/>
          <w:p>
            <w:pPr>
              <w:pStyle w:val="Compact"/>
              <w:jc w:val="left"/>
            </w:pPr>
            <w:r>
              <w:t xml:space="preserve">4</w:t>
            </w:r>
          </w:p>
        </w:tc>
        <w:tc>
          <w:tcPr/>
          <w:p>
            <w:pPr>
              <w:pStyle w:val="Compact"/>
              <w:jc w:val="left"/>
            </w:pPr>
            <w:r>
              <w:rPr>
                <w:bCs/>
                <w:b/>
              </w:rPr>
              <w:t xml:space="preserve">Regulatory Compliance Review</w:t>
            </w:r>
            <w:r>
              <w:br/>
            </w:r>
            <w:r>
              <w:t xml:space="preserve">Review of engineering plans against Israeli Ministry of Energy regulations. Ensuring all Petroleum Engineer deliverables meet local statutory requirements.</w:t>
            </w:r>
          </w:p>
        </w:tc>
        <w:tc>
          <w:tcPr/>
          <w:p>
            <w:pPr>
              <w:pStyle w:val="Compact"/>
              <w:jc w:val="left"/>
            </w:pPr>
            <w:r>
              <w:t xml:space="preserve">10 Hours</w:t>
            </w:r>
          </w:p>
        </w:tc>
        <w:tc>
          <w:tcPr/>
          <w:p>
            <w:pPr>
              <w:pStyle w:val="Compact"/>
              <w:jc w:val="left"/>
            </w:pPr>
            <w:r>
              <w:t xml:space="preserve">900.00</w:t>
            </w:r>
          </w:p>
        </w:tc>
        <w:tc>
          <w:tcPr/>
          <w:p>
            <w:pPr>
              <w:pStyle w:val="Compact"/>
              <w:jc w:val="left"/>
            </w:pPr>
            <w:r>
              <w:t xml:space="preserve">9,000.00</w:t>
            </w:r>
          </w:p>
        </w:tc>
        <w:tc>
          <w:tcPr/>
          <w:p>
            <w:pPr>
              <w:pStyle w:val="Compact"/>
              <w:jc w:val="left"/>
            </w:pPr>
            <w:r>
              <w:t xml:space="preserve">1,530.00</w:t>
            </w:r>
          </w:p>
        </w:tc>
      </w:tr>
      <w:tr>
        <w:tc>
          <w:tcPr/>
          <w:p>
            <w:pPr>
              <w:pStyle w:val="Compact"/>
              <w:jc w:val="left"/>
            </w:pPr>
            <w:r>
              <w:t xml:space="preserve">5</w:t>
            </w:r>
          </w:p>
        </w:tc>
        <w:tc>
          <w:tcPr/>
          <w:p>
            <w:pPr>
              <w:pStyle w:val="Compact"/>
              <w:jc w:val="left"/>
            </w:pPr>
            <w:r>
              <w:rPr>
                <w:bCs/>
                <w:b/>
              </w:rPr>
              <w:t xml:space="preserve">Technical Reporting &amp; Documentation</w:t>
            </w:r>
            <w:r>
              <w:br/>
            </w:r>
            <w:r>
              <w:t xml:space="preserve">Compilation of final engineering reports, including risk assessment and production forecasts. Delivered in English and Hebrew.</w:t>
            </w:r>
          </w:p>
        </w:tc>
        <w:tc>
          <w:tcPr/>
          <w:p>
            <w:pPr>
              <w:pStyle w:val="Compact"/>
              <w:jc w:val="left"/>
            </w:pPr>
            <w:r>
              <w:t xml:space="preserve">15 Hours</w:t>
            </w:r>
          </w:p>
        </w:tc>
        <w:tc>
          <w:tcPr/>
          <w:p>
            <w:pPr>
              <w:pStyle w:val="Compact"/>
              <w:jc w:val="left"/>
            </w:pPr>
            <w:r>
              <w:t xml:space="preserve">800.00</w:t>
            </w:r>
          </w:p>
        </w:tc>
        <w:tc>
          <w:tcPr/>
          <w:p>
            <w:pPr>
              <w:pStyle w:val="Compact"/>
              <w:jc w:val="left"/>
            </w:pPr>
            <w:r>
              <w:t xml:space="preserve">12,000.00</w:t>
            </w:r>
          </w:p>
        </w:tc>
        <w:tc>
          <w:tcPr/>
          <w:p>
            <w:pPr>
              <w:pStyle w:val="Compact"/>
              <w:jc w:val="left"/>
            </w:pPr>
            <w:r>
              <w:t xml:space="preserve">2,040.00</w:t>
            </w:r>
          </w:p>
        </w:tc>
      </w:tr>
    </w:tbl>
    <w:p>
      <w:pPr>
        <w:pStyle w:val="BodyText"/>
      </w:pPr>
      <w:r>
        <w:t xml:space="preserve">Subtotal:</w:t>
      </w:r>
      <w:r>
        <w:t xml:space="preserve"> </w:t>
      </w:r>
      <w:r>
        <w:t xml:space="preserve">101,500.00 ILS</w:t>
      </w:r>
    </w:p>
    <w:p>
      <w:pPr>
        <w:pStyle w:val="BodyText"/>
      </w:pPr>
      <w:r>
        <w:t xml:space="preserve">VAT (17%):</w:t>
      </w:r>
      <w:r>
        <w:t xml:space="preserve"> </w:t>
      </w:r>
      <w:r>
        <w:t xml:space="preserve">17,255.00 ILS</w:t>
      </w:r>
    </w:p>
    <w:p>
      <w:pPr>
        <w:pStyle w:val="BodyText"/>
      </w:pPr>
      <w:r>
        <w:t xml:space="preserve">Total Due:</w:t>
      </w:r>
      <w:r>
        <w:t xml:space="preserve"> </w:t>
      </w:r>
      <w:r>
        <w:t xml:space="preserve">118,755.00 ILS</w:t>
      </w:r>
    </w:p>
    <w:p>
      <w:pPr>
        <w:pStyle w:val="BodyText"/>
      </w:pPr>
      <w:r>
        <w:t xml:space="preserve">* All prices are in Israeli New Shekels (ILS). VAT is calculated according to the current Israeli Value Added Tax law.</w:t>
      </w:r>
    </w:p>
    <w:bookmarkStart w:id="25" w:name="payment-terms-conditions"/>
    <w:p>
      <w:pPr>
        <w:pStyle w:val="Heading4"/>
      </w:pPr>
      <w:r>
        <w:t xml:space="preserve">Payment Terms &amp; Conditions</w:t>
      </w:r>
    </w:p>
    <w:p>
      <w:pPr>
        <w:pStyle w:val="FirstParagraph"/>
      </w:pPr>
      <w:r>
        <w:rPr>
          <w:bCs/>
          <w:b/>
        </w:rPr>
        <w:t xml:space="preserve">Payment Method:</w:t>
      </w:r>
      <w:r>
        <w:t xml:space="preserve"> </w:t>
      </w:r>
      <w:r>
        <w:t xml:space="preserve">Bank Transfer (SWIFT/IBAN)</w:t>
      </w:r>
      <w:r>
        <w:br/>
      </w:r>
      <w:r>
        <w:rPr>
          <w:bCs/>
          <w:b/>
        </w:rPr>
        <w:t xml:space="preserve">Bank Name:</w:t>
      </w:r>
      <w:r>
        <w:t xml:space="preserve"> </w:t>
      </w:r>
      <w:r>
        <w:t xml:space="preserve">Bank Hapoalim</w:t>
      </w:r>
      <w:r>
        <w:br/>
      </w:r>
      <w:r>
        <w:rPr>
          <w:bCs/>
          <w:b/>
        </w:rPr>
        <w:t xml:space="preserve">Branch:</w:t>
      </w:r>
      <w:r>
        <w:t xml:space="preserve"> </w:t>
      </w:r>
      <w:r>
        <w:t xml:space="preserve">Tel Aviv Central</w:t>
      </w:r>
      <w:r>
        <w:br/>
      </w:r>
      <w:r>
        <w:rPr>
          <w:bCs/>
          <w:b/>
        </w:rPr>
        <w:t xml:space="preserve">Account Name:</w:t>
      </w:r>
      <w:r>
        <w:t xml:space="preserve"> </w:t>
      </w:r>
      <w:r>
        <w:t xml:space="preserve">Negev Energy Solutions Ltd.</w:t>
      </w:r>
      <w:r>
        <w:br/>
      </w:r>
      <w:r>
        <w:rPr>
          <w:bCs/>
          <w:b/>
        </w:rPr>
        <w:t xml:space="preserve">IBAN:</w:t>
      </w:r>
      <w:r>
        <w:t xml:space="preserve"> </w:t>
      </w:r>
      <w:r>
        <w:t xml:space="preserve">IL1201080000000999999</w:t>
      </w:r>
      <w:r>
        <w:br/>
      </w:r>
      <w:r>
        <w:rPr>
          <w:bCs/>
          <w:b/>
        </w:rPr>
        <w:t xml:space="preserve">SWIFT Code:</w:t>
      </w:r>
      <w:r>
        <w:t xml:space="preserve"> </w:t>
      </w:r>
      <w:r>
        <w:t xml:space="preserve">POALILIT</w:t>
      </w:r>
    </w:p>
    <w:p>
      <w:pPr>
        <w:pStyle w:val="BodyText"/>
      </w:pPr>
      <w:r>
        <w:t xml:space="preserve">Payment is due within 30 days from the date of this Invoice. Late payments will incur a penalty interest rate of 1.5% per month, in accordance with Israeli commercial law. Please reference the Invoice Number (INV-2023-10-458) when making your payment.</w:t>
      </w:r>
    </w:p>
    <w:p>
      <w:pPr>
        <w:pStyle w:val="BodyText"/>
      </w:pPr>
      <w:r>
        <w:rPr>
          <w:bCs/>
          <w:b/>
        </w:rPr>
        <w:t xml:space="preserve">Service Guarantee:</w:t>
      </w:r>
      <w:r>
        <w:t xml:space="preserve"> </w:t>
      </w:r>
      <w:r>
        <w:t xml:space="preserve">Negev Energy Solutions Ltd. guarantees the accuracy and professionalism of all Petroleum Engineer services provided. Our team in Israel Tel Aviv is committed to delivering high-quality engineering solutions that drive value for our clients in the energy sector.</w:t>
      </w:r>
    </w:p>
    <w:p>
      <w:pPr>
        <w:pStyle w:val="BodyText"/>
      </w:pPr>
      <w:r>
        <w:rPr>
          <w:bCs/>
          <w:b/>
        </w:rPr>
        <w:t xml:space="preserve">Confidentiality:</w:t>
      </w:r>
      <w:r>
        <w:t xml:space="preserve"> </w:t>
      </w:r>
      <w:r>
        <w:t xml:space="preserve">All data and information exchanged during this project are subject to the Non-Disclosure Agreement (NDA) signed between both parties. This Invoice and the associated technical reports are confidential and intended solely for the use of the addressee.</w:t>
      </w:r>
    </w:p>
    <w:bookmarkEnd w:id="25"/>
    <w:p>
      <w:pPr>
        <w:pStyle w:val="BodyText"/>
      </w:pPr>
      <w:r>
        <w:t xml:space="preserve">Negev Energy Solutions Ltd. | 12 HaYarkon Street, Ramat Aviv, Tel Aviv-Yafo, Israel 6971001</w:t>
      </w:r>
      <w:r>
        <w:br/>
      </w:r>
      <w:r>
        <w:t xml:space="preserve">VAT ID: 517000000 | Company Reg. No: 517000000</w:t>
      </w:r>
      <w:r>
        <w:br/>
      </w:r>
      <w:r>
        <w:t xml:space="preserve">Thank you for your business. We look forward to continuing our partnership in advancing petroleum engineering excellence in Israel Tel Aviv.</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Petroleum Engineering Services</dc:title>
  <dc:creator/>
  <dc:language>en</dc:language>
  <cp:keywords/>
  <dcterms:created xsi:type="dcterms:W3CDTF">2026-10-10T06:28:19Z</dcterms:created>
  <dcterms:modified xsi:type="dcterms:W3CDTF">2026-10-10T06:28:19Z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