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eni-tech-solutions-s.r.l."/>
    <w:p>
      <w:pPr>
        <w:pStyle w:val="Heading1"/>
      </w:pPr>
      <w:r>
        <w:t xml:space="preserve">ENI-TECH SOLUTIONS S.R.L.</w:t>
      </w:r>
    </w:p>
    <w:p>
      <w:pPr>
        <w:pStyle w:val="FirstParagraph"/>
      </w:pPr>
      <w:r>
        <w:t xml:space="preserve">Via della Spiga, 15</w:t>
      </w:r>
    </w:p>
    <w:p>
      <w:pPr>
        <w:pStyle w:val="BodyText"/>
      </w:pPr>
      <w:r>
        <w:t xml:space="preserve">20121 Milan, Italy</w:t>
      </w:r>
    </w:p>
    <w:p>
      <w:pPr>
        <w:pStyle w:val="BodyText"/>
      </w:pPr>
      <w:r>
        <w:t xml:space="preserve">P.IVA / VAT ID: IT01234567890</w:t>
      </w:r>
    </w:p>
    <w:p>
      <w:pPr>
        <w:pStyle w:val="BodyText"/>
      </w:pPr>
      <w:r>
        <w:t xml:space="preserve">Email: billing@enitech-solutions.it</w:t>
      </w:r>
    </w:p>
    <w:p>
      <w:pPr>
        <w:pStyle w:val="BodyText"/>
      </w:pPr>
      <w:r>
        <w:t xml:space="preserve">Phone: +39 02 1234 5678</w:t>
      </w:r>
    </w:p>
    <w:bookmarkEnd w:id="20"/>
    <w:bookmarkStart w:id="21" w:name="invoice"/>
    <w:p>
      <w:pPr>
        <w:pStyle w:val="Heading2"/>
      </w:pPr>
      <w:r>
        <w:t xml:space="preserve">INVOICE</w:t>
      </w:r>
    </w:p>
    <w:p>
      <w:pPr>
        <w:pStyle w:val="FirstParagraph"/>
      </w:pPr>
      <w:r>
        <w:rPr>
          <w:bCs/>
          <w:b/>
        </w:rPr>
        <w:t xml:space="preserve">Ref:</w:t>
      </w:r>
      <w:r>
        <w:t xml:space="preserve"> </w:t>
      </w:r>
      <w:r>
        <w:t xml:space="preserve">INV-2023-PE-089</w:t>
      </w:r>
    </w:p>
    <w:bookmarkEnd w:id="21"/>
    <w:bookmarkStart w:id="22" w:name="bill-to"/>
    <w:p>
      <w:pPr>
        <w:pStyle w:val="Heading3"/>
      </w:pPr>
      <w:r>
        <w:t xml:space="preserve">BILL TO:</w:t>
      </w:r>
    </w:p>
    <w:p>
      <w:pPr>
        <w:pStyle w:val="FirstParagraph"/>
      </w:pPr>
      <w:r>
        <w:rPr>
          <w:bCs/>
          <w:b/>
        </w:rPr>
        <w:t xml:space="preserve">Global Energy Resources S.p.A.</w:t>
      </w:r>
    </w:p>
    <w:p>
      <w:pPr>
        <w:pStyle w:val="BodyText"/>
      </w:pPr>
      <w:r>
        <w:t xml:space="preserve">Attn: Procurement Department</w:t>
      </w:r>
    </w:p>
    <w:p>
      <w:pPr>
        <w:pStyle w:val="BodyText"/>
      </w:pPr>
      <w:r>
        <w:t xml:space="preserve">Via Monte Napoleone, 8</w:t>
      </w:r>
    </w:p>
    <w:p>
      <w:pPr>
        <w:pStyle w:val="BodyText"/>
      </w:pPr>
      <w:r>
        <w:t xml:space="preserve">20121 Milan, Italy</w:t>
      </w:r>
    </w:p>
    <w:p>
      <w:pPr>
        <w:pStyle w:val="BodyText"/>
      </w:pPr>
      <w:r>
        <w:t xml:space="preserve">P.IVA: IT98765432100</w:t>
      </w:r>
    </w:p>
    <w:bookmarkEnd w:id="22"/>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 Days</w:t>
      </w:r>
    </w:p>
    <w:p>
      <w:pPr>
        <w:pStyle w:val="BodyText"/>
      </w:pPr>
      <w:r>
        <w:rPr>
          <w:bCs/>
          <w:b/>
        </w:rPr>
        <w:t xml:space="preserve">Project:</w:t>
      </w:r>
      <w:r>
        <w:t xml:space="preserve"> </w:t>
      </w:r>
      <w:r>
        <w:t xml:space="preserve">Offshore Reservoir Optimization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Reservoir Simulation &amp; Analysis:</w:t>
            </w:r>
            <w:r>
              <w:t xml:space="preserve"> </w:t>
            </w:r>
            <w:r>
              <w:t xml:space="preserve">Comprehensive reservoir modeling using advanced numerical simulators to predict fluid flow behavior in the Adriatic basin. This service includes history matching, sensitivity analysis, and forecasting production profiles for the next 15 years.</w:t>
            </w:r>
          </w:p>
        </w:tc>
        <w:tc>
          <w:tcPr/>
          <w:p>
            <w:pPr>
              <w:pStyle w:val="Compact"/>
              <w:jc w:val="left"/>
            </w:pPr>
            <w:r>
              <w:t xml:space="preserve">40.0</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2</w:t>
            </w:r>
          </w:p>
        </w:tc>
        <w:tc>
          <w:tcPr/>
          <w:p>
            <w:pPr>
              <w:pStyle w:val="Compact"/>
              <w:jc w:val="left"/>
            </w:pPr>
            <w:r>
              <w:rPr>
                <w:bCs/>
                <w:b/>
              </w:rPr>
              <w:t xml:space="preserve">Well Completion Design:</w:t>
            </w:r>
            <w:r>
              <w:t xml:space="preserve"> </w:t>
            </w:r>
            <w:r>
              <w:t xml:space="preserve">Engineering consultation for the design of horizontal well completions in high-pressure, high-temperature (HPHT) environments. Includes selection of casing strings, cementing programs, and perforation strategies to maximize wellbore integrity and productivity.</w:t>
            </w:r>
          </w:p>
        </w:tc>
        <w:tc>
          <w:tcPr/>
          <w:p>
            <w:pPr>
              <w:pStyle w:val="Compact"/>
              <w:jc w:val="left"/>
            </w:pPr>
            <w:r>
              <w:t xml:space="preserve">25.0</w:t>
            </w:r>
          </w:p>
        </w:tc>
        <w:tc>
          <w:tcPr/>
          <w:p>
            <w:pPr>
              <w:pStyle w:val="Compact"/>
              <w:jc w:val="left"/>
            </w:pPr>
            <w:r>
              <w:t xml:space="preserve">180.00</w:t>
            </w:r>
          </w:p>
        </w:tc>
        <w:tc>
          <w:tcPr/>
          <w:p>
            <w:pPr>
              <w:pStyle w:val="Compact"/>
              <w:jc w:val="left"/>
            </w:pPr>
            <w:r>
              <w:t xml:space="preserve">4,500.00</w:t>
            </w:r>
          </w:p>
        </w:tc>
      </w:tr>
      <w:tr>
        <w:tc>
          <w:tcPr/>
          <w:p>
            <w:pPr>
              <w:pStyle w:val="Compact"/>
              <w:jc w:val="left"/>
            </w:pPr>
            <w:r>
              <w:t xml:space="preserve">3</w:t>
            </w:r>
          </w:p>
        </w:tc>
        <w:tc>
          <w:tcPr/>
          <w:p>
            <w:pPr>
              <w:pStyle w:val="Compact"/>
              <w:jc w:val="left"/>
            </w:pPr>
            <w:r>
              <w:rPr>
                <w:bCs/>
                <w:b/>
              </w:rPr>
              <w:t xml:space="preserve">Enhanced Oil Recovery (EOR) Strategy:</w:t>
            </w:r>
            <w:r>
              <w:t xml:space="preserve"> </w:t>
            </w:r>
            <w:r>
              <w:t xml:space="preserve">Technical assessment of CO2 injection feasibility for the specified field. The Petroleum Engineer conducted a phase-behavior study and economic evaluation to determine the optimal injection pressure and rate to improve recovery factors.</w:t>
            </w:r>
          </w:p>
        </w:tc>
        <w:tc>
          <w:tcPr/>
          <w:p>
            <w:pPr>
              <w:pStyle w:val="Compact"/>
              <w:jc w:val="left"/>
            </w:pPr>
            <w:r>
              <w:t xml:space="preserve">30.0</w:t>
            </w:r>
          </w:p>
        </w:tc>
        <w:tc>
          <w:tcPr/>
          <w:p>
            <w:pPr>
              <w:pStyle w:val="Compact"/>
              <w:jc w:val="left"/>
            </w:pPr>
            <w:r>
              <w:t xml:space="preserve">180.00</w:t>
            </w:r>
          </w:p>
        </w:tc>
        <w:tc>
          <w:tcPr/>
          <w:p>
            <w:pPr>
              <w:pStyle w:val="Compact"/>
              <w:jc w:val="left"/>
            </w:pPr>
            <w:r>
              <w:t xml:space="preserve">5,400.00</w:t>
            </w:r>
          </w:p>
        </w:tc>
      </w:tr>
      <w:tr>
        <w:tc>
          <w:tcPr/>
          <w:p>
            <w:pPr>
              <w:pStyle w:val="Compact"/>
              <w:jc w:val="left"/>
            </w:pPr>
            <w:r>
              <w:t xml:space="preserve">4</w:t>
            </w:r>
          </w:p>
        </w:tc>
        <w:tc>
          <w:tcPr/>
          <w:p>
            <w:pPr>
              <w:pStyle w:val="Compact"/>
              <w:jc w:val="left"/>
            </w:pPr>
            <w:r>
              <w:rPr>
                <w:bCs/>
                <w:b/>
              </w:rPr>
              <w:t xml:space="preserve">Production Data Analysis:</w:t>
            </w:r>
            <w:r>
              <w:t xml:space="preserve"> </w:t>
            </w:r>
            <w:r>
              <w:t xml:space="preserve">Detailed analysis of production logs, pressure transient tests, and decline curve analysis. This service aims to identify bottlenecks in current production systems and recommend operational adjustments to mitigate water breakthrough and sand production issues.</w:t>
            </w:r>
          </w:p>
        </w:tc>
        <w:tc>
          <w:tcPr/>
          <w:p>
            <w:pPr>
              <w:pStyle w:val="Compact"/>
              <w:jc w:val="left"/>
            </w:pPr>
            <w:r>
              <w:t xml:space="preserve">20.0</w:t>
            </w:r>
          </w:p>
        </w:tc>
        <w:tc>
          <w:tcPr/>
          <w:p>
            <w:pPr>
              <w:pStyle w:val="Compact"/>
              <w:jc w:val="left"/>
            </w:pPr>
            <w:r>
              <w:t xml:space="preserve">180.00</w:t>
            </w:r>
          </w:p>
        </w:tc>
        <w:tc>
          <w:tcPr/>
          <w:p>
            <w:pPr>
              <w:pStyle w:val="Compact"/>
              <w:jc w:val="left"/>
            </w:pPr>
            <w:r>
              <w:t xml:space="preserve">3,600.00</w:t>
            </w:r>
          </w:p>
        </w:tc>
      </w:tr>
      <w:tr>
        <w:tc>
          <w:tcPr/>
          <w:p>
            <w:pPr>
              <w:pStyle w:val="Compact"/>
              <w:jc w:val="left"/>
            </w:pPr>
            <w:r>
              <w:t xml:space="preserve">5</w:t>
            </w:r>
          </w:p>
        </w:tc>
        <w:tc>
          <w:tcPr/>
          <w:p>
            <w:pPr>
              <w:pStyle w:val="Compact"/>
              <w:jc w:val="left"/>
            </w:pPr>
            <w:r>
              <w:rPr>
                <w:bCs/>
                <w:b/>
              </w:rPr>
              <w:t xml:space="preserve">Regulatory Compliance Report:</w:t>
            </w:r>
            <w:r>
              <w:t xml:space="preserve"> </w:t>
            </w:r>
            <w:r>
              <w:t xml:space="preserve">Preparation of technical documentation required by Italian energy authorities (MiSE) regarding environmental impact and safety standards for offshore drilling operations in compliance with EU directives.</w:t>
            </w:r>
          </w:p>
        </w:tc>
        <w:tc>
          <w:tcPr/>
          <w:p>
            <w:pPr>
              <w:pStyle w:val="Compact"/>
              <w:jc w:val="left"/>
            </w:pPr>
            <w:r>
              <w:t xml:space="preserve">15.0</w:t>
            </w:r>
          </w:p>
        </w:tc>
        <w:tc>
          <w:tcPr/>
          <w:p>
            <w:pPr>
              <w:pStyle w:val="Compact"/>
              <w:jc w:val="left"/>
            </w:pPr>
            <w:r>
              <w:t xml:space="preserve">180.00</w:t>
            </w:r>
          </w:p>
        </w:tc>
        <w:tc>
          <w:tcPr/>
          <w:p>
            <w:pPr>
              <w:pStyle w:val="Compact"/>
              <w:jc w:val="left"/>
            </w:pPr>
            <w:r>
              <w:t xml:space="preserve">2,700.00</w:t>
            </w:r>
          </w:p>
        </w:tc>
      </w:tr>
    </w:tbl>
    <w:p>
      <w:pPr>
        <w:pStyle w:val="BodyText"/>
      </w:pPr>
      <w:r>
        <w:t xml:space="preserve">Subtotal:</w:t>
      </w:r>
      <w:r>
        <w:t xml:space="preserve"> </w:t>
      </w:r>
      <w:r>
        <w:t xml:space="preserve">23,400.00 EUR</w:t>
      </w:r>
    </w:p>
    <w:p>
      <w:pPr>
        <w:pStyle w:val="BodyText"/>
      </w:pPr>
      <w:r>
        <w:t xml:space="preserve">VAT (22% - Italy Standard Rate):</w:t>
      </w:r>
      <w:r>
        <w:t xml:space="preserve"> </w:t>
      </w:r>
      <w:r>
        <w:t xml:space="preserve">5,148.00 EUR</w:t>
      </w:r>
    </w:p>
    <w:p>
      <w:pPr>
        <w:pStyle w:val="BodyText"/>
      </w:pPr>
      <w:r>
        <w:t xml:space="preserve">TOTAL DUE:</w:t>
      </w:r>
      <w:r>
        <w:t xml:space="preserve"> </w:t>
      </w:r>
      <w:r>
        <w:t xml:space="preserve">28,548.00 EUR</w:t>
      </w:r>
    </w:p>
    <w:bookmarkStart w:id="23" w:name="payment-instructions"/>
    <w:p>
      <w:pPr>
        <w:pStyle w:val="Heading3"/>
      </w:pPr>
      <w:r>
        <w:t xml:space="preserve">Payment Instructions:</w:t>
      </w:r>
    </w:p>
    <w:p>
      <w:pPr>
        <w:pStyle w:val="FirstParagraph"/>
      </w:pPr>
      <w:r>
        <w:t xml:space="preserve">Please make payment via bank transfer to the following account:</w:t>
      </w:r>
    </w:p>
    <w:p>
      <w:pPr>
        <w:pStyle w:val="BodyText"/>
      </w:pPr>
      <w:r>
        <w:rPr>
          <w:bCs/>
          <w:b/>
        </w:rPr>
        <w:t xml:space="preserve">Bank:</w:t>
      </w:r>
      <w:r>
        <w:t xml:space="preserve"> </w:t>
      </w:r>
      <w:r>
        <w:t xml:space="preserve">Intesa Sanpaolo</w:t>
      </w:r>
    </w:p>
    <w:p>
      <w:pPr>
        <w:pStyle w:val="BodyText"/>
      </w:pPr>
      <w:r>
        <w:rPr>
          <w:bCs/>
          <w:b/>
        </w:rPr>
        <w:t xml:space="preserve">IBAN:</w:t>
      </w:r>
      <w:r>
        <w:t xml:space="preserve"> </w:t>
      </w:r>
      <w:r>
        <w:t xml:space="preserve">IT60 X030 6909 6061 0000 0012 345</w:t>
      </w:r>
    </w:p>
    <w:p>
      <w:pPr>
        <w:pStyle w:val="BodyText"/>
      </w:pPr>
      <w:r>
        <w:rPr>
          <w:bCs/>
          <w:b/>
        </w:rPr>
        <w:t xml:space="preserve">BIC/SWIFT:</w:t>
      </w:r>
      <w:r>
        <w:t xml:space="preserve"> </w:t>
      </w:r>
      <w:r>
        <w:t xml:space="preserve">BCITITMM</w:t>
      </w:r>
    </w:p>
    <w:p>
      <w:pPr>
        <w:pStyle w:val="BodyText"/>
      </w:pPr>
      <w:r>
        <w:rPr>
          <w:bCs/>
          <w:b/>
        </w:rPr>
        <w:t xml:space="preserve">Reference:</w:t>
      </w:r>
      <w:r>
        <w:t xml:space="preserve"> </w:t>
      </w:r>
      <w:r>
        <w:t xml:space="preserve">INV-2023-PE-089</w:t>
      </w:r>
    </w:p>
    <w:bookmarkEnd w:id="23"/>
    <w:bookmarkStart w:id="24" w:name="terms-and-conditions"/>
    <w:p>
      <w:pPr>
        <w:pStyle w:val="Heading3"/>
      </w:pPr>
      <w:r>
        <w:t xml:space="preserve">Terms and Conditions:</w:t>
      </w:r>
    </w:p>
    <w:p>
      <w:pPr>
        <w:pStyle w:val="FirstParagraph"/>
      </w:pPr>
      <w:r>
        <w:t xml:space="preserve">1. Payment is due within 30 days of the invoice date. Late payments may incur interest charges in accordance with Italian Law No. 192/2000.</w:t>
      </w:r>
    </w:p>
    <w:p>
      <w:pPr>
        <w:pStyle w:val="BodyText"/>
      </w:pPr>
      <w:r>
        <w:t xml:space="preserve">2. All services provided by our Petroleum Engineer are subject to the confidentiality agreement signed on September 1, 2023.</w:t>
      </w:r>
    </w:p>
    <w:p>
      <w:pPr>
        <w:pStyle w:val="BodyText"/>
      </w:pPr>
      <w:r>
        <w:t xml:space="preserve">3. This invoice is issued in accordance with the Italian Civil Code and EU VAT regulations.</w:t>
      </w:r>
    </w:p>
    <w:p>
      <w:pPr>
        <w:pStyle w:val="BodyText"/>
      </w:pPr>
      <w:r>
        <w:t xml:space="preserve">4. Any disputes regarding this invoice must be raised in writing within 10 days of receipt.</w:t>
      </w:r>
    </w:p>
    <w:p>
      <w:pPr>
        <w:pStyle w:val="BodyText"/>
      </w:pPr>
      <w:r>
        <w:t xml:space="preserve">5. The scope of work described herein was performed by certified professionals specializing in upstream petroleum engineering, ensuring adherence to international standards (API, ISO) and local Italian regulations.</w:t>
      </w:r>
    </w:p>
    <w:bookmarkEnd w:id="24"/>
    <w:p>
      <w:pPr>
        <w:pStyle w:val="BodyText"/>
      </w:pPr>
      <w:r>
        <w:rPr>
          <w:bCs/>
          <w:b/>
        </w:rPr>
        <w:t xml:space="preserve">Authorized Signature</w:t>
      </w:r>
    </w:p>
    <w:p>
      <w:pPr>
        <w:pStyle w:val="BodyText"/>
      </w:pPr>
      <w:r>
        <w:t xml:space="preserve">Marco Rossi, Lead Petroleum Engineer</w:t>
      </w:r>
    </w:p>
    <w:p>
      <w:pPr>
        <w:pStyle w:val="BodyText"/>
      </w:pPr>
      <w:r>
        <w:rPr>
          <w:bCs/>
          <w:b/>
        </w:rPr>
        <w:t xml:space="preserve">Received By</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2026-10-10T08:34:27Z</dcterms:created>
  <dcterms:modified xsi:type="dcterms:W3CDTF">2026-10-10T08:34:27Z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