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subterra-engineering-solutions-s.r.l."/>
    <w:p>
      <w:pPr>
        <w:pStyle w:val="Heading1"/>
      </w:pPr>
      <w:r>
        <w:t xml:space="preserve">Subterra Engineering Solutions S.r.l.</w:t>
      </w:r>
    </w:p>
    <w:p>
      <w:pPr>
        <w:pStyle w:val="FirstParagraph"/>
      </w:pPr>
      <w:r>
        <w:t xml:space="preserve">Via del Corso, 124, 00186 Rome, Italy</w:t>
      </w:r>
    </w:p>
    <w:p>
      <w:pPr>
        <w:pStyle w:val="BodyText"/>
      </w:pPr>
      <w:r>
        <w:t xml:space="preserve">P.IVA / C.F.: IT01234567890</w:t>
      </w:r>
    </w:p>
    <w:p>
      <w:pPr>
        <w:pStyle w:val="BodyText"/>
      </w:pPr>
      <w:r>
        <w:t xml:space="preserve">REA: RM-1234567</w:t>
      </w:r>
    </w:p>
    <w:p>
      <w:pPr>
        <w:pStyle w:val="BodyText"/>
      </w:pPr>
      <w:r>
        <w:t xml:space="preserve">Email: billing@subterra-eng.it | Phone: +39 06 1234 5678</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Eni S.p.A. - Exploration &amp; Production Division</w:t>
      </w:r>
    </w:p>
    <w:p>
      <w:pPr>
        <w:pStyle w:val="BodyText"/>
      </w:pPr>
      <w:r>
        <w:t xml:space="preserve">Via Marco Polo, 11</w:t>
      </w:r>
    </w:p>
    <w:p>
      <w:pPr>
        <w:pStyle w:val="BodyText"/>
      </w:pPr>
      <w:r>
        <w:t xml:space="preserve">00144 Rome, Italy</w:t>
      </w:r>
    </w:p>
    <w:p>
      <w:pPr>
        <w:pStyle w:val="BodyText"/>
      </w:pPr>
      <w:r>
        <w:t xml:space="preserve">Attn: Procurement Department</w:t>
      </w:r>
    </w:p>
    <w:p>
      <w:pPr>
        <w:pStyle w:val="BodyText"/>
      </w:pPr>
      <w:r>
        <w:t xml:space="preserve">Invoice Information:</w:t>
      </w:r>
    </w:p>
    <w:p>
      <w:pPr>
        <w:pStyle w:val="BodyText"/>
      </w:pPr>
      <w:r>
        <w:rPr>
          <w:bCs/>
          <w:b/>
        </w:rPr>
        <w:t xml:space="preserve">Invoice Number:</w:t>
      </w:r>
      <w:r>
        <w:t xml:space="preserve"> </w:t>
      </w:r>
      <w:r>
        <w:t xml:space="preserve">INV-2023-PE-089</w:t>
      </w:r>
    </w:p>
    <w:p>
      <w:pPr>
        <w:pStyle w:val="BodyText"/>
      </w:pPr>
      <w:r>
        <w:rPr>
          <w:bCs/>
          <w:b/>
        </w:rPr>
        <w:t xml:space="preserve">Project Reference:</w:t>
      </w:r>
      <w:r>
        <w:t xml:space="preserve"> </w:t>
      </w:r>
      <w:r>
        <w:t xml:space="preserve">Adriatic Basin Optimization Phase II</w:t>
      </w:r>
    </w:p>
    <w:p>
      <w:pPr>
        <w:pStyle w:val="BodyText"/>
      </w:pPr>
      <w:r>
        <w:rPr>
          <w:bCs/>
          <w:b/>
        </w:rPr>
        <w:t xml:space="preserve">Service Period:</w:t>
      </w:r>
      <w:r>
        <w:t xml:space="preserve"> </w:t>
      </w:r>
      <w:r>
        <w:t xml:space="preserve">September 1, 2023 - September 30, 2023</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Reservoir Characterization and Simulation Analysis</w:t>
            </w:r>
            <w:r>
              <w:br/>
            </w:r>
            <w:r>
              <w:t xml:space="preserve">Comprehensive evaluation of reservoir properties for the designated offshore sector. This service includes the integration of geological data, petrophysical logs, and fluid analysis to construct a high-fidelity static reservoir model. The Petroleum Engineer performed detailed history matching to ensure the dynamic model accurately reflects past production behavior, providing a reliable basis for future forecasting.</w:t>
            </w:r>
          </w:p>
        </w:tc>
        <w:tc>
          <w:tcPr/>
          <w:p>
            <w:pPr>
              <w:pStyle w:val="Compact"/>
              <w:jc w:val="left"/>
            </w:pPr>
            <w:r>
              <w:t xml:space="preserve">120</w:t>
            </w:r>
          </w:p>
        </w:tc>
        <w:tc>
          <w:tcPr/>
          <w:p>
            <w:pPr>
              <w:pStyle w:val="Compact"/>
              <w:jc w:val="left"/>
            </w:pPr>
            <w:r>
              <w:t xml:space="preserve">180.00</w:t>
            </w:r>
          </w:p>
        </w:tc>
        <w:tc>
          <w:tcPr/>
          <w:p>
            <w:pPr>
              <w:pStyle w:val="Compact"/>
              <w:jc w:val="left"/>
            </w:pPr>
            <w:r>
              <w:t xml:space="preserve">21,600.00</w:t>
            </w:r>
          </w:p>
        </w:tc>
      </w:tr>
      <w:tr>
        <w:tc>
          <w:tcPr/>
          <w:p>
            <w:pPr>
              <w:pStyle w:val="Compact"/>
              <w:jc w:val="left"/>
            </w:pPr>
            <w:r>
              <w:t xml:space="preserve">2</w:t>
            </w:r>
          </w:p>
        </w:tc>
        <w:tc>
          <w:tcPr/>
          <w:p>
            <w:pPr>
              <w:pStyle w:val="Compact"/>
              <w:jc w:val="left"/>
            </w:pPr>
            <w:r>
              <w:rPr>
                <w:bCs/>
                <w:b/>
              </w:rPr>
              <w:t xml:space="preserve">Well Performance Optimization and Diagnostics</w:t>
            </w:r>
            <w:r>
              <w:br/>
            </w:r>
            <w:r>
              <w:t xml:space="preserve">Detailed analysis of production data to identify bottlenecks in current well performance. The engineer conducted nodal analysis to determine optimal tubing sizes and choke settings. Recommendations were formulated to mitigate sand production issues and improve the efficiency of artificial lift systems currently deployed in the field.</w:t>
            </w:r>
          </w:p>
        </w:tc>
        <w:tc>
          <w:tcPr/>
          <w:p>
            <w:pPr>
              <w:pStyle w:val="Compact"/>
              <w:jc w:val="left"/>
            </w:pPr>
            <w:r>
              <w:t xml:space="preserve">80</w:t>
            </w:r>
          </w:p>
        </w:tc>
        <w:tc>
          <w:tcPr/>
          <w:p>
            <w:pPr>
              <w:pStyle w:val="Compact"/>
              <w:jc w:val="left"/>
            </w:pPr>
            <w:r>
              <w:t xml:space="preserve">180.00</w:t>
            </w:r>
          </w:p>
        </w:tc>
        <w:tc>
          <w:tcPr/>
          <w:p>
            <w:pPr>
              <w:pStyle w:val="Compact"/>
              <w:jc w:val="left"/>
            </w:pPr>
            <w:r>
              <w:t xml:space="preserve">14,400.00</w:t>
            </w:r>
          </w:p>
        </w:tc>
      </w:tr>
      <w:tr>
        <w:tc>
          <w:tcPr/>
          <w:p>
            <w:pPr>
              <w:pStyle w:val="Compact"/>
              <w:jc w:val="left"/>
            </w:pPr>
            <w:r>
              <w:t xml:space="preserve">3</w:t>
            </w:r>
          </w:p>
        </w:tc>
        <w:tc>
          <w:tcPr/>
          <w:p>
            <w:pPr>
              <w:pStyle w:val="Compact"/>
              <w:jc w:val="left"/>
            </w:pPr>
            <w:r>
              <w:rPr>
                <w:bCs/>
                <w:b/>
              </w:rPr>
              <w:t xml:space="preserve">Enhanced Oil Recovery (EOR) Feasibility Study</w:t>
            </w:r>
            <w:r>
              <w:br/>
            </w:r>
            <w:r>
              <w:t xml:space="preserve">Preliminary technical assessment for the implementation of gas injection techniques. The Petroleum Engineer evaluated reservoir pressure maintenance strategies and calculated the potential incremental recovery factors. This report aligns with current Italian energy regulations regarding environmental impact and operational safety standards in the Rome administrative jurisdiction.</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4</w:t>
            </w:r>
          </w:p>
        </w:tc>
        <w:tc>
          <w:tcPr/>
          <w:p>
            <w:pPr>
              <w:pStyle w:val="Compact"/>
              <w:jc w:val="left"/>
            </w:pPr>
            <w:r>
              <w:rPr>
                <w:bCs/>
                <w:b/>
              </w:rPr>
              <w:t xml:space="preserve">Regulatory Compliance and Technical Reporting</w:t>
            </w:r>
            <w:r>
              <w:br/>
            </w:r>
            <w:r>
              <w:t xml:space="preserve">Preparation of mandatory technical documentation required by the Ministry of Economic Development (MISE). This includes the drafting of the "Piano di Sfruttamento" updates and ensuring all engineering calculations meet the specific safety protocols mandated for operations within the Italian continental shelf.</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bl>
    <w:p>
      <w:pPr>
        <w:pStyle w:val="BodyText"/>
      </w:pPr>
      <w:r>
        <w:t xml:space="preserve">Subtotal:</w:t>
      </w:r>
      <w:r>
        <w:t xml:space="preserve"> </w:t>
      </w:r>
      <w:r>
        <w:t xml:space="preserve">€ 47,500.00</w:t>
      </w:r>
    </w:p>
    <w:p>
      <w:pPr>
        <w:pStyle w:val="BodyText"/>
      </w:pPr>
      <w:r>
        <w:t xml:space="preserve">VAT (IVA 22%):</w:t>
      </w:r>
      <w:r>
        <w:t xml:space="preserve"> </w:t>
      </w:r>
      <w:r>
        <w:t xml:space="preserve">€ 10,450.00</w:t>
      </w:r>
    </w:p>
    <w:p>
      <w:pPr>
        <w:pStyle w:val="BodyText"/>
      </w:pPr>
      <w:r>
        <w:t xml:space="preserve">TOTAL DUE:</w:t>
      </w:r>
      <w:r>
        <w:t xml:space="preserve"> </w:t>
      </w:r>
      <w:r>
        <w:t xml:space="preserve">€ 57,950.00</w:t>
      </w:r>
    </w:p>
    <w:bookmarkStart w:id="22" w:name="payment-terms-and-banking-details"/>
    <w:p>
      <w:pPr>
        <w:pStyle w:val="Heading4"/>
      </w:pPr>
      <w:r>
        <w:t xml:space="preserve">Payment Terms and Banking Details</w:t>
      </w:r>
    </w:p>
    <w:p>
      <w:pPr>
        <w:pStyle w:val="FirstParagraph"/>
      </w:pPr>
      <w:r>
        <w:t xml:space="preserve">Payment is due within 30 days of the invoice date. Please make payments via bank transfer to the following account:</w:t>
      </w:r>
    </w:p>
    <w:p>
      <w:pPr>
        <w:pStyle w:val="BodyText"/>
      </w:pPr>
      <w:r>
        <w:rPr>
          <w:bCs/>
          <w:b/>
        </w:rPr>
        <w:t xml:space="preserve">Bank:</w:t>
      </w:r>
      <w:r>
        <w:t xml:space="preserve"> </w:t>
      </w:r>
      <w:r>
        <w:t xml:space="preserve">Banca Intesa Sanpaolo</w:t>
      </w:r>
      <w:r>
        <w:br/>
      </w:r>
      <w:r>
        <w:rPr>
          <w:bCs/>
          <w:b/>
        </w:rPr>
        <w:t xml:space="preserve">IBAN:</w:t>
      </w:r>
      <w:r>
        <w:t xml:space="preserve"> </w:t>
      </w:r>
      <w:r>
        <w:t xml:space="preserve">IT60 X030 6909 6061 0000 0012 345</w:t>
      </w:r>
      <w:r>
        <w:br/>
      </w:r>
      <w:r>
        <w:rPr>
          <w:bCs/>
          <w:b/>
        </w:rPr>
        <w:t xml:space="preserve">BIC/SWIFT:</w:t>
      </w:r>
      <w:r>
        <w:t xml:space="preserve"> </w:t>
      </w:r>
      <w:r>
        <w:t xml:space="preserve">BCITITMM</w:t>
      </w:r>
      <w:r>
        <w:br/>
      </w:r>
      <w:r>
        <w:rPr>
          <w:bCs/>
          <w:b/>
        </w:rPr>
        <w:t xml:space="preserve">Reference:</w:t>
      </w:r>
      <w:r>
        <w:t xml:space="preserve"> </w:t>
      </w:r>
      <w:r>
        <w:t xml:space="preserve">INV-2023-PE-089</w:t>
      </w:r>
    </w:p>
    <w:p>
      <w:pPr>
        <w:pStyle w:val="BodyText"/>
      </w:pPr>
      <w:r>
        <w:br/>
      </w:r>
    </w:p>
    <w:bookmarkEnd w:id="22"/>
    <w:bookmarkStart w:id="23" w:name="service-scope-and-legal-notes"/>
    <w:p>
      <w:pPr>
        <w:pStyle w:val="Heading4"/>
      </w:pPr>
      <w:r>
        <w:t xml:space="preserve">Service Scope and Legal Notes</w:t>
      </w:r>
    </w:p>
    <w:p>
      <w:pPr>
        <w:pStyle w:val="FirstParagraph"/>
      </w:pPr>
      <w:r>
        <w:t xml:space="preserve">This invoice represents professional services rendered by a certified Petroleum Engineer specializing in reservoir management and production optimization. The services described above were executed in accordance with the highest industry standards and specific contractual agreements between Subterra Engineering Solutions S.r.l. and Eni S.p.A.</w:t>
      </w:r>
    </w:p>
    <w:p>
      <w:pPr>
        <w:pStyle w:val="BodyText"/>
      </w:pPr>
      <w:r>
        <w:t xml:space="preserve">All engineering assessments, simulations, and recommendations provided are based on the data available as of the service period. While the Petroleum Engineer has exercised due diligence and professional judgment, actual field results may vary due to subsurface uncertainties inherent in the petroleum industry.</w:t>
      </w:r>
    </w:p>
    <w:p>
      <w:pPr>
        <w:pStyle w:val="BodyText"/>
      </w:pPr>
      <w:r>
        <w:t xml:space="preserve">This transaction is subject to the laws of Italy. Any disputes arising from this invoice or the services rendered shall be settled in the competent courts of Rome. The VAT applied is in compliance with the current Italian tax code (Codice dell'Imposta sul Valore Aggiunto). Late payments may incur statutory interest as defined by Italian law.</w:t>
      </w:r>
    </w:p>
    <w:p>
      <w:pPr>
        <w:pStyle w:val="BodyText"/>
      </w:pPr>
      <w:r>
        <w:t xml:space="preserve">Thank you for your business. We look forward to continuing our collaboration to maximize the efficiency and safety of your energy assets in the region.</w:t>
      </w:r>
    </w:p>
    <w:bookmarkEnd w:id="23"/>
    <w:p>
      <w:pPr>
        <w:pStyle w:val="BodyText"/>
      </w:pPr>
      <w:r>
        <w:t xml:space="preserve">Subterra Engineering Solutions S.r.l. | Registered Office: Rome, Italy | VAT ID: IT01234567890</w:t>
      </w:r>
    </w:p>
    <w:p>
      <w:pPr>
        <w:pStyle w:val="BodyText"/>
      </w:pPr>
      <w:r>
        <w:t xml:space="preserve">This is a computer-generated document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2026-10-10T02:56:55Z</dcterms:created>
  <dcterms:modified xsi:type="dcterms:W3CDTF">2026-10-10T02:56:55Z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