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abidjan-petroleum-solutions"/>
    <w:p>
      <w:pPr>
        <w:pStyle w:val="Heading1"/>
      </w:pPr>
      <w:r>
        <w:t xml:space="preserve">Abidjan Petroleum Solutions</w:t>
      </w:r>
    </w:p>
    <w:p>
      <w:pPr>
        <w:pStyle w:val="FirstParagraph"/>
      </w:pPr>
      <w:r>
        <w:t xml:space="preserve">Specialized Petroleum Engineering Consultancy</w:t>
      </w:r>
    </w:p>
    <w:p>
      <w:pPr>
        <w:pStyle w:val="BodyText"/>
      </w:pPr>
      <w:r>
        <w:t xml:space="preserve">Zone 4C, Cocody Riviera Golf</w:t>
      </w:r>
    </w:p>
    <w:p>
      <w:pPr>
        <w:pStyle w:val="BodyText"/>
      </w:pPr>
      <w:r>
        <w:t xml:space="preserve">Abidjan, Ivory Coast</w:t>
      </w:r>
    </w:p>
    <w:p>
      <w:pPr>
        <w:pStyle w:val="BodyText"/>
      </w:pPr>
      <w:r>
        <w:t xml:space="preserve">Tel: +225 27 22 48 00 00</w:t>
      </w:r>
    </w:p>
    <w:p>
      <w:pPr>
        <w:pStyle w:val="BodyText"/>
      </w:pPr>
      <w:r>
        <w:t xml:space="preserve">Email: billing@abidjanpetroleum.ci</w:t>
      </w:r>
    </w:p>
    <w:p>
      <w:pPr>
        <w:pStyle w:val="BodyText"/>
      </w:pPr>
      <w:r>
        <w:t xml:space="preserve">RC Abidjan B-2023-12345 | NINEA: CI-9876543210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INV-2023-PE-089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OGO-RES-2023-Q4</w:t>
      </w:r>
    </w:p>
    <w:bookmarkEnd w:id="21"/>
    <w:bookmarkStart w:id="22" w:name="bill-to"/>
    <w:p>
      <w:pPr>
        <w:pStyle w:val="Heading3"/>
      </w:pPr>
      <w:r>
        <w:t xml:space="preserve">Bill To:</w:t>
      </w:r>
    </w:p>
    <w:p>
      <w:pPr>
        <w:pStyle w:val="FirstParagraph"/>
      </w:pPr>
      <w:r>
        <w:rPr>
          <w:bCs/>
          <w:b/>
        </w:rPr>
        <w:t xml:space="preserve">West African Energy Consortium (WAEC)</w:t>
      </w:r>
    </w:p>
    <w:p>
      <w:pPr>
        <w:pStyle w:val="BodyText"/>
      </w:pPr>
      <w:r>
        <w:t xml:space="preserve">Attn: Procurement Department</w:t>
      </w:r>
    </w:p>
    <w:p>
      <w:pPr>
        <w:pStyle w:val="BodyText"/>
      </w:pPr>
      <w:r>
        <w:t xml:space="preserve">Immeuble Africa 2000, 1er Arrondissement</w:t>
      </w:r>
    </w:p>
    <w:p>
      <w:pPr>
        <w:pStyle w:val="BodyText"/>
      </w:pPr>
      <w:r>
        <w:t xml:space="preserve">Abidjan, Ivory Coast</w:t>
      </w:r>
    </w:p>
    <w:p>
      <w:pPr>
        <w:pStyle w:val="BodyText"/>
      </w:pPr>
      <w:r>
        <w:t xml:space="preserve">Project Site: Offshore Ogooué Basin Operations</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Petroleum Engineering Services</w:t>
            </w:r>
          </w:p>
        </w:tc>
        <w:tc>
          <w:tcPr/>
          <w:p>
            <w:pPr>
              <w:pStyle w:val="Compact"/>
              <w:jc w:val="left"/>
            </w:pPr>
            <w:r>
              <w:t xml:space="preserve">Hours / Units</w:t>
            </w:r>
          </w:p>
        </w:tc>
        <w:tc>
          <w:tcPr/>
          <w:p>
            <w:pPr>
              <w:pStyle w:val="Compact"/>
              <w:jc w:val="left"/>
            </w:pPr>
            <w:r>
              <w:t xml:space="preserve">Rate (XOF)</w:t>
            </w:r>
          </w:p>
        </w:tc>
        <w:tc>
          <w:tcPr/>
          <w:p>
            <w:pPr>
              <w:pStyle w:val="Compact"/>
              <w:jc w:val="left"/>
            </w:pPr>
            <w:r>
              <w:t xml:space="preserve">Total (XOF)</w:t>
            </w:r>
          </w:p>
        </w:tc>
      </w:tr>
      <w:tr>
        <w:tc>
          <w:tcPr/>
          <w:p>
            <w:pPr>
              <w:pStyle w:val="Compact"/>
              <w:jc w:val="left"/>
            </w:pPr>
            <w:r>
              <w:t xml:space="preserve">1</w:t>
            </w:r>
          </w:p>
        </w:tc>
        <w:tc>
          <w:tcPr/>
          <w:p>
            <w:pPr>
              <w:pStyle w:val="Compact"/>
              <w:jc w:val="left"/>
            </w:pPr>
            <w:r>
              <w:rPr>
                <w:bCs/>
                <w:b/>
              </w:rPr>
              <w:t xml:space="preserve">Reservoir Characterization and Simulation:</w:t>
            </w:r>
            <w:r>
              <w:br/>
            </w:r>
            <w:r>
              <w:t xml:space="preserve">Comprehensive analysis of subsurface data for the Ogooué block. This includes static modeling, fluid property analysis, and dynamic simulation to optimize recovery factors. Conducted by senior Petroleum Engineers based in Abidjan.</w:t>
            </w:r>
          </w:p>
        </w:tc>
        <w:tc>
          <w:tcPr/>
          <w:p>
            <w:pPr>
              <w:pStyle w:val="Compact"/>
              <w:jc w:val="left"/>
            </w:pPr>
            <w:r>
              <w:t xml:space="preserve">120</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2</w:t>
            </w:r>
          </w:p>
        </w:tc>
        <w:tc>
          <w:tcPr/>
          <w:p>
            <w:pPr>
              <w:pStyle w:val="Compact"/>
              <w:jc w:val="left"/>
            </w:pPr>
            <w:r>
              <w:rPr>
                <w:bCs/>
                <w:b/>
              </w:rPr>
              <w:t xml:space="preserve">Well Completion Design and Optimization:</w:t>
            </w:r>
            <w:r>
              <w:br/>
            </w:r>
            <w:r>
              <w:t xml:space="preserve">Engineering design for high-pressure, high-temperature (HPHT) wells. Includes casing design, cementing programs, and completion strategies tailored to the geological conditions of the Ivory Coast offshore sector.</w:t>
            </w:r>
          </w:p>
        </w:tc>
        <w:tc>
          <w:tcPr/>
          <w:p>
            <w:pPr>
              <w:pStyle w:val="Compact"/>
              <w:jc w:val="left"/>
            </w:pPr>
            <w:r>
              <w:t xml:space="preserve">80</w:t>
            </w:r>
          </w:p>
        </w:tc>
        <w:tc>
          <w:tcPr/>
          <w:p>
            <w:pPr>
              <w:pStyle w:val="Compact"/>
              <w:jc w:val="left"/>
            </w:pPr>
            <w:r>
              <w:t xml:space="preserve">90,000</w:t>
            </w:r>
          </w:p>
        </w:tc>
        <w:tc>
          <w:tcPr/>
          <w:p>
            <w:pPr>
              <w:pStyle w:val="Compact"/>
              <w:jc w:val="left"/>
            </w:pPr>
            <w:r>
              <w:t xml:space="preserve">7,200,000</w:t>
            </w:r>
          </w:p>
        </w:tc>
      </w:tr>
      <w:tr>
        <w:tc>
          <w:tcPr/>
          <w:p>
            <w:pPr>
              <w:pStyle w:val="Compact"/>
              <w:jc w:val="left"/>
            </w:pPr>
            <w:r>
              <w:t xml:space="preserve">3</w:t>
            </w:r>
          </w:p>
        </w:tc>
        <w:tc>
          <w:tcPr/>
          <w:p>
            <w:pPr>
              <w:pStyle w:val="Compact"/>
              <w:jc w:val="left"/>
            </w:pPr>
            <w:r>
              <w:rPr>
                <w:bCs/>
                <w:b/>
              </w:rPr>
              <w:t xml:space="preserve">Production Engineering Support:</w:t>
            </w:r>
            <w:r>
              <w:br/>
            </w:r>
            <w:r>
              <w:t xml:space="preserve">On-site technical supervision and troubleshooting of artificial lift systems. Analysis of nodal systems to maximize production efficiency and reduce downtime at the Abidjan processing terminal.</w:t>
            </w:r>
          </w:p>
        </w:tc>
        <w:tc>
          <w:tcPr/>
          <w:p>
            <w:pPr>
              <w:pStyle w:val="Compact"/>
              <w:jc w:val="left"/>
            </w:pPr>
            <w:r>
              <w:t xml:space="preserve">160</w:t>
            </w:r>
          </w:p>
        </w:tc>
        <w:tc>
          <w:tcPr/>
          <w:p>
            <w:pPr>
              <w:pStyle w:val="Compact"/>
              <w:jc w:val="left"/>
            </w:pPr>
            <w:r>
              <w:t xml:space="preserve">75,000</w:t>
            </w:r>
          </w:p>
        </w:tc>
        <w:tc>
          <w:tcPr/>
          <w:p>
            <w:pPr>
              <w:pStyle w:val="Compact"/>
              <w:jc w:val="left"/>
            </w:pPr>
            <w:r>
              <w:t xml:space="preserve">12,000,000</w:t>
            </w:r>
          </w:p>
        </w:tc>
      </w:tr>
      <w:tr>
        <w:tc>
          <w:tcPr/>
          <w:p>
            <w:pPr>
              <w:pStyle w:val="Compact"/>
              <w:jc w:val="left"/>
            </w:pPr>
            <w:r>
              <w:t xml:space="preserve">4</w:t>
            </w:r>
          </w:p>
        </w:tc>
        <w:tc>
          <w:tcPr/>
          <w:p>
            <w:pPr>
              <w:pStyle w:val="Compact"/>
              <w:jc w:val="left"/>
            </w:pPr>
            <w:r>
              <w:rPr>
                <w:bCs/>
                <w:b/>
              </w:rPr>
              <w:t xml:space="preserve">Drilling Fluids and Mud Engineering:</w:t>
            </w:r>
            <w:r>
              <w:br/>
            </w:r>
            <w:r>
              <w:t xml:space="preserve">Formulation and testing of drilling fluids to ensure wellbore stability. Real-time monitoring and adjustment of rheological properties during the drilling phase in the Gulf of Guinea.</w:t>
            </w:r>
          </w:p>
        </w:tc>
        <w:tc>
          <w:tcPr/>
          <w:p>
            <w:pPr>
              <w:pStyle w:val="Compact"/>
              <w:jc w:val="left"/>
            </w:pPr>
            <w:r>
              <w:t xml:space="preserve">60</w:t>
            </w:r>
          </w:p>
        </w:tc>
        <w:tc>
          <w:tcPr/>
          <w:p>
            <w:pPr>
              <w:pStyle w:val="Compact"/>
              <w:jc w:val="left"/>
            </w:pPr>
            <w:r>
              <w:t xml:space="preserve">80,000</w:t>
            </w:r>
          </w:p>
        </w:tc>
        <w:tc>
          <w:tcPr/>
          <w:p>
            <w:pPr>
              <w:pStyle w:val="Compact"/>
              <w:jc w:val="left"/>
            </w:pPr>
            <w:r>
              <w:t xml:space="preserve">4,800,000</w:t>
            </w:r>
          </w:p>
        </w:tc>
      </w:tr>
      <w:tr>
        <w:tc>
          <w:tcPr/>
          <w:p>
            <w:pPr>
              <w:pStyle w:val="Compact"/>
              <w:jc w:val="left"/>
            </w:pPr>
            <w:r>
              <w:t xml:space="preserve">5</w:t>
            </w:r>
          </w:p>
        </w:tc>
        <w:tc>
          <w:tcPr/>
          <w:p>
            <w:pPr>
              <w:pStyle w:val="Compact"/>
              <w:jc w:val="left"/>
            </w:pPr>
            <w:r>
              <w:rPr>
                <w:bCs/>
                <w:b/>
              </w:rPr>
              <w:t xml:space="preserve">Technical Reporting and Compliance:</w:t>
            </w:r>
            <w:r>
              <w:br/>
            </w:r>
            <w:r>
              <w:t xml:space="preserve">Preparation of detailed engineering reports compliant with ANH (Autorité Nationale des Hydrocarbures) regulations. Documentation of all petroleum engineering activities for regulatory submission in Abidjan.</w:t>
            </w:r>
          </w:p>
        </w:tc>
        <w:tc>
          <w:tcPr/>
          <w:p>
            <w:pPr>
              <w:pStyle w:val="Compact"/>
              <w:jc w:val="left"/>
            </w:pPr>
            <w:r>
              <w:t xml:space="preserve">40</w:t>
            </w:r>
          </w:p>
        </w:tc>
        <w:tc>
          <w:tcPr/>
          <w:p>
            <w:pPr>
              <w:pStyle w:val="Compact"/>
              <w:jc w:val="left"/>
            </w:pPr>
            <w:r>
              <w:t xml:space="preserve">70,000</w:t>
            </w:r>
          </w:p>
        </w:tc>
        <w:tc>
          <w:tcPr/>
          <w:p>
            <w:pPr>
              <w:pStyle w:val="Compact"/>
              <w:jc w:val="left"/>
            </w:pPr>
            <w:r>
              <w:t xml:space="preserve">2,800,000</w:t>
            </w:r>
          </w:p>
        </w:tc>
      </w:tr>
    </w:tbl>
    <w:p>
      <w:pPr>
        <w:pStyle w:val="BodyText"/>
      </w:pPr>
      <w:r>
        <w:t xml:space="preserve">Subtotal:</w:t>
      </w:r>
      <w:r>
        <w:t xml:space="preserve"> </w:t>
      </w:r>
      <w:r>
        <w:t xml:space="preserve">37,000,000 XOF</w:t>
      </w:r>
    </w:p>
    <w:p>
      <w:pPr>
        <w:pStyle w:val="BodyText"/>
      </w:pPr>
      <w:r>
        <w:t xml:space="preserve">VAT (18% - Ivory Coast Standard Rate):</w:t>
      </w:r>
      <w:r>
        <w:t xml:space="preserve"> </w:t>
      </w:r>
      <w:r>
        <w:t xml:space="preserve">6,660,000 XOF</w:t>
      </w:r>
    </w:p>
    <w:p>
      <w:pPr>
        <w:pStyle w:val="BodyText"/>
      </w:pPr>
      <w:r>
        <w:t xml:space="preserve">Withholding Tax (1%):</w:t>
      </w:r>
      <w:r>
        <w:t xml:space="preserve"> </w:t>
      </w:r>
      <w:r>
        <w:t xml:space="preserve">-370,000 XOF</w:t>
      </w:r>
    </w:p>
    <w:p>
      <w:pPr>
        <w:pStyle w:val="BodyText"/>
      </w:pPr>
      <w:r>
        <w:t xml:space="preserve">TOTAL AMOUNT DUE:</w:t>
      </w:r>
      <w:r>
        <w:t xml:space="preserve"> </w:t>
      </w:r>
      <w:r>
        <w:t xml:space="preserve">43,290,000 XOF</w:t>
      </w:r>
    </w:p>
    <w:bookmarkStart w:id="23" w:name="X7c284cb4b8523f2391e6583c95010bab028d47a"/>
    <w:p>
      <w:pPr>
        <w:pStyle w:val="Heading4"/>
      </w:pPr>
      <w:r>
        <w:t xml:space="preserve">Terms and Conditions &amp; Payment Instructions</w:t>
      </w:r>
    </w:p>
    <w:p>
      <w:pPr>
        <w:pStyle w:val="FirstParagraph"/>
      </w:pPr>
      <w:r>
        <w:rPr>
          <w:bCs/>
          <w:b/>
        </w:rPr>
        <w:t xml:space="preserve">1. Payment Method:</w:t>
      </w:r>
      <w:r>
        <w:t xml:space="preserve"> </w:t>
      </w:r>
      <w:r>
        <w:t xml:space="preserve">Payment is to be made via bank transfer to the following account located in Abidjan, Ivory Coast:</w:t>
      </w:r>
    </w:p>
    <w:p>
      <w:pPr>
        <w:pStyle w:val="BodyText"/>
      </w:pPr>
      <w:r>
        <w:rPr>
          <w:bCs/>
          <w:b/>
        </w:rPr>
        <w:t xml:space="preserve">Bank:</w:t>
      </w:r>
      <w:r>
        <w:t xml:space="preserve"> </w:t>
      </w:r>
      <w:r>
        <w:t xml:space="preserve">Ecobank Côte d'Ivoire</w:t>
      </w:r>
      <w:r>
        <w:br/>
      </w:r>
      <w:r>
        <w:rPr>
          <w:bCs/>
          <w:b/>
        </w:rPr>
        <w:t xml:space="preserve">Branch:</w:t>
      </w:r>
      <w:r>
        <w:t xml:space="preserve"> </w:t>
      </w:r>
      <w:r>
        <w:t xml:space="preserve">Plateau</w:t>
      </w:r>
      <w:r>
        <w:br/>
      </w:r>
      <w:r>
        <w:rPr>
          <w:bCs/>
          <w:b/>
        </w:rPr>
        <w:t xml:space="preserve">Account Name:</w:t>
      </w:r>
      <w:r>
        <w:t xml:space="preserve"> </w:t>
      </w:r>
      <w:r>
        <w:t xml:space="preserve">Abidjan Petroleum Solutions SARL</w:t>
      </w:r>
      <w:r>
        <w:br/>
      </w:r>
      <w:r>
        <w:rPr>
          <w:bCs/>
          <w:b/>
        </w:rPr>
        <w:t xml:space="preserve">Account Number:</w:t>
      </w:r>
      <w:r>
        <w:t xml:space="preserve"> </w:t>
      </w:r>
      <w:r>
        <w:t xml:space="preserve">CI 007 0001234567890123456 78</w:t>
      </w:r>
      <w:r>
        <w:br/>
      </w:r>
      <w:r>
        <w:rPr>
          <w:bCs/>
          <w:b/>
        </w:rPr>
        <w:t xml:space="preserve">SWIFT/BIC:</w:t>
      </w:r>
      <w:r>
        <w:t xml:space="preserve"> </w:t>
      </w:r>
      <w:r>
        <w:t xml:space="preserve">ECOBCICI</w:t>
      </w:r>
    </w:p>
    <w:p>
      <w:pPr>
        <w:pStyle w:val="BodyText"/>
      </w:pPr>
      <w:r>
        <w:rPr>
          <w:bCs/>
          <w:b/>
        </w:rPr>
        <w:t xml:space="preserve">2. Currency:</w:t>
      </w:r>
      <w:r>
        <w:t xml:space="preserve"> </w:t>
      </w:r>
      <w:r>
        <w:t xml:space="preserve">All amounts are quoted in West African CFA Francs (XOF). This Invoice is governed by the commercial laws of the Republic of Ivory Coast.</w:t>
      </w:r>
    </w:p>
    <w:p>
      <w:pPr>
        <w:pStyle w:val="BodyText"/>
      </w:pPr>
      <w:r>
        <w:rPr>
          <w:bCs/>
          <w:b/>
        </w:rPr>
        <w:t xml:space="preserve">3. Scope of Work:</w:t>
      </w:r>
      <w:r>
        <w:t xml:space="preserve"> </w:t>
      </w:r>
      <w:r>
        <w:t xml:space="preserve">The services described above were performed by certified Petroleum Engineers specializing in upstream operations. The technical data provided is confidential and intended solely for the use of West African Energy Consortium.</w:t>
      </w:r>
    </w:p>
    <w:p>
      <w:pPr>
        <w:pStyle w:val="BodyText"/>
      </w:pPr>
      <w:r>
        <w:rPr>
          <w:bCs/>
          <w:b/>
        </w:rPr>
        <w:t xml:space="preserve">4. Late Payments:</w:t>
      </w:r>
      <w:r>
        <w:t xml:space="preserve"> </w:t>
      </w:r>
      <w:r>
        <w:t xml:space="preserve">Invoices not paid by the due date will incur a late fee of 1.5% per month on the outstanding balance, in accordance with local regulations.</w:t>
      </w:r>
    </w:p>
    <w:p>
      <w:pPr>
        <w:pStyle w:val="BodyText"/>
      </w:pPr>
      <w:r>
        <w:rPr>
          <w:bCs/>
          <w:b/>
        </w:rPr>
        <w:t xml:space="preserve">5. Disputes:</w:t>
      </w:r>
      <w:r>
        <w:t xml:space="preserve"> </w:t>
      </w:r>
      <w:r>
        <w:t xml:space="preserve">Any discrepancies regarding this Invoice must be reported within 10 business days of receipt. Failure to report discrepancies will be considered as acceptance of the charges.</w:t>
      </w:r>
    </w:p>
    <w:p>
      <w:pPr>
        <w:pStyle w:val="BodyText"/>
      </w:pPr>
      <w:r>
        <w:rPr>
          <w:bCs/>
          <w:b/>
        </w:rPr>
        <w:t xml:space="preserve">6. Regulatory Compliance:</w:t>
      </w:r>
      <w:r>
        <w:t xml:space="preserve"> </w:t>
      </w:r>
      <w:r>
        <w:t xml:space="preserve">This Invoice reflects all necessary fiscal obligations, including the withholding tax required by the Ivorian tax authority for services rendered by engineering firms in the petroleum sector.</w:t>
      </w:r>
    </w:p>
    <w:bookmarkEnd w:id="23"/>
    <w:p>
      <w:pPr>
        <w:pStyle w:val="BodyText"/>
      </w:pPr>
      <w:r>
        <w:rPr>
          <w:bCs/>
          <w:b/>
        </w:rPr>
        <w:t xml:space="preserve">Authorized Signature:</w:t>
      </w:r>
    </w:p>
    <w:p>
      <w:pPr>
        <w:pStyle w:val="BodyText"/>
      </w:pPr>
      <w:r>
        <w:t xml:space="preserve">Dr. Jean-Marc Kouassi</w:t>
      </w:r>
    </w:p>
    <w:p>
      <w:pPr>
        <w:pStyle w:val="BodyText"/>
      </w:pPr>
      <w:r>
        <w:t xml:space="preserve">Chief Petroleum Engineer</w:t>
      </w:r>
    </w:p>
    <w:p>
      <w:pPr>
        <w:pStyle w:val="BodyText"/>
      </w:pPr>
      <w:r>
        <w:t xml:space="preserve">Abidjan Petroleum Solutions</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West African Energy Consortium</w:t>
      </w:r>
    </w:p>
    <w:p>
      <w:pPr>
        <w:pStyle w:val="BodyText"/>
      </w:pPr>
      <w:r>
        <w:t xml:space="preserve">Thank you for your business. Abidjan Petroleum Solutions is committed to excellence in Petroleum Engineering across the Ivory Coast and West Africa.</w:t>
      </w:r>
    </w:p>
    <w:p>
      <w:pPr>
        <w:pStyle w:val="BodyText"/>
      </w:pPr>
      <w:r>
        <w:t xml:space="preserve">This is a computer-generated Invoice and does not require a physical stamp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2026-10-10T06:26:12Z</dcterms:created>
  <dcterms:modified xsi:type="dcterms:W3CDTF">2026-10-10T06:26:12Z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