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osaka-energy-solutions-ltd."/>
    <w:p>
      <w:pPr>
        <w:pStyle w:val="Heading1"/>
      </w:pPr>
      <w:r>
        <w:t xml:space="preserve">Osaka Energy Solutions Ltd.</w:t>
      </w:r>
    </w:p>
    <w:p>
      <w:pPr>
        <w:pStyle w:val="FirstParagraph"/>
      </w:pPr>
      <w:r>
        <w:t xml:space="preserve">2-4-1 Umeda, Kita-ku</w:t>
      </w:r>
      <w:r>
        <w:br/>
      </w:r>
      <w:r>
        <w:t xml:space="preserve">Osaka, 530-0001</w:t>
      </w:r>
      <w:r>
        <w:br/>
      </w:r>
      <w:r>
        <w:t xml:space="preserve">Japan</w:t>
      </w:r>
      <w:r>
        <w:br/>
      </w:r>
      <w:r>
        <w:t xml:space="preserve">Phone: +81-6-6444-5555</w:t>
      </w:r>
      <w:r>
        <w:br/>
      </w:r>
      <w:r>
        <w:t xml:space="preserve">Email: billing@osakaenergysolutions.jp</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Global Petrochemical Industries</w:t>
      </w:r>
      <w:r>
        <w:br/>
      </w:r>
      <w:r>
        <w:t xml:space="preserve">Attn: Procurement Department</w:t>
      </w:r>
      <w:r>
        <w:br/>
      </w:r>
      <w:r>
        <w:t xml:space="preserve">1-1-1 Higashi-Shinbashi, Minato-ku</w:t>
      </w:r>
      <w:r>
        <w:br/>
      </w:r>
      <w:r>
        <w:t xml:space="preserve">Tokyo, 105-0021</w:t>
      </w:r>
      <w:r>
        <w:br/>
      </w:r>
      <w:r>
        <w:t xml:space="preserve">Japan</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INV-OSK-2023-0892</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Project Reference:</w:t>
      </w:r>
      <w:r>
        <w:t xml:space="preserve"> </w:t>
      </w:r>
      <w:r>
        <w:t xml:space="preserve">Osaka Bay Offshore Reservoir Optimization</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Reservoir Engineering Analysis</w:t>
            </w:r>
            <w:r>
              <w:br/>
            </w:r>
            <w:r>
              <w:t xml:space="preserve">Comprehensive evaluation of subsurface data for the Osaka Bay sector. This includes pressure transient analysis, fluid property characterization, and volumetric estimation to determine recoverable reserves.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Well Completion Design Consultation</w:t>
            </w:r>
            <w:r>
              <w:br/>
            </w:r>
            <w:r>
              <w:t xml:space="preserve">Strategic planning for well completion strategies tailored to the specific geological conditions of the Japan Sea basin. Includes casing design, cementing programs, and perforation strategies to maximize production efficiency.</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Production Optimization Strategy</w:t>
            </w:r>
            <w:r>
              <w:br/>
            </w:r>
            <w:r>
              <w:t xml:space="preserve">Development of enhanced oil recovery (EOR) techniques suitable for mature fields in the region. Analysis of water flooding efficiency and chemical injection protocols to extend the economic life of the assets.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rPr>
                <w:bCs/>
                <w:b/>
              </w:rPr>
              <w:t xml:space="preserve">Regulatory Compliance Reporting</w:t>
            </w:r>
            <w:r>
              <w:br/>
            </w:r>
            <w:r>
              <w:t xml:space="preserve">Preparation of technical documentation required by the Ministry of Economy, Trade and Industry (METI) regarding environmental impact and safety standards for petroleum extraction operations in Japan.</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rPr>
                <w:bCs/>
                <w:b/>
              </w:rPr>
              <w:t xml:space="preserve">Site Supervision and Technical Oversight</w:t>
            </w:r>
            <w:r>
              <w:br/>
            </w:r>
            <w:r>
              <w:t xml:space="preserve">On-site supervision by a senior Petroleum Engineer during the drilling phase in Osaka. Ensuring adherence to engineering specifications, safety protocols, and real-time problem solving during operations.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¥4,100,000</w:t>
            </w:r>
          </w:p>
        </w:tc>
      </w:tr>
      <w:tr>
        <w:tc>
          <w:tcPr/>
          <w:p>
            <w:pPr>
              <w:pStyle w:val="Compact"/>
              <w:jc w:val="left"/>
            </w:pPr>
            <w:r>
              <w:t xml:space="preserve">Consumption Tax (10%):</w:t>
            </w:r>
          </w:p>
        </w:tc>
        <w:tc>
          <w:tcPr/>
          <w:p>
            <w:pPr>
              <w:pStyle w:val="Compact"/>
              <w:jc w:val="left"/>
            </w:pPr>
            <w:r>
              <w:t xml:space="preserve">¥410,000</w:t>
            </w:r>
          </w:p>
        </w:tc>
      </w:tr>
      <w:tr>
        <w:tc>
          <w:tcPr/>
          <w:p>
            <w:pPr>
              <w:pStyle w:val="Compact"/>
              <w:jc w:val="left"/>
            </w:pPr>
            <w:r>
              <w:t xml:space="preserve">Total Due:</w:t>
            </w:r>
          </w:p>
        </w:tc>
        <w:tc>
          <w:tcPr/>
          <w:p>
            <w:pPr>
              <w:pStyle w:val="Compact"/>
              <w:jc w:val="left"/>
            </w:pPr>
            <w:r>
              <w:t xml:space="preserve">¥4,510,000</w:t>
            </w:r>
          </w:p>
        </w:tc>
      </w:tr>
    </w:tbl>
    <w:bookmarkStart w:id="24" w:name="terms-and-conditions"/>
    <w:p>
      <w:pPr>
        <w:pStyle w:val="Heading4"/>
      </w:pPr>
      <w:r>
        <w:t xml:space="preserve">Terms and Conditions:</w:t>
      </w:r>
    </w:p>
    <w:p>
      <w:pPr>
        <w:pStyle w:val="FirstParagraph"/>
      </w:pPr>
      <w:r>
        <w:t xml:space="preserve">1. Payment is due within 30 days of the invoice date. Late payments may incur a penalty interest rate of 1.5% per month.</w:t>
      </w:r>
      <w:r>
        <w:br/>
      </w:r>
      <w:r>
        <w:t xml:space="preserve">2. All services provided by our team of Petroleum Engineers are subject to the professional standards and regulations governing the energy sector in Japan.</w:t>
      </w:r>
      <w:r>
        <w:br/>
      </w:r>
      <w:r>
        <w:t xml:space="preserve">3. Please reference the Invoice Number (INV-OSK-2023-0892) on all payments.</w:t>
      </w:r>
      <w:r>
        <w:br/>
      </w:r>
      <w:r>
        <w:t xml:space="preserve">4. Bank Transfer Details:</w:t>
      </w:r>
      <w:r>
        <w:br/>
      </w:r>
      <w:r>
        <w:t xml:space="preserve">Bank Name: Sumitomo Mitsui Banking Corporation (SMBC)</w:t>
      </w:r>
      <w:r>
        <w:br/>
      </w:r>
      <w:r>
        <w:t xml:space="preserve">Branch: Osaka Main Branch</w:t>
      </w:r>
      <w:r>
        <w:br/>
      </w:r>
      <w:r>
        <w:t xml:space="preserve">Account Type: Ordinary Account</w:t>
      </w:r>
      <w:r>
        <w:br/>
      </w:r>
      <w:r>
        <w:t xml:space="preserve">Account Number: 1234567</w:t>
      </w:r>
      <w:r>
        <w:br/>
      </w:r>
      <w:r>
        <w:t xml:space="preserve">Account Name: Osaka Energy Solutions Ltd.</w:t>
      </w:r>
    </w:p>
    <w:bookmarkEnd w:id="24"/>
    <w:p>
      <w:pPr>
        <w:pStyle w:val="BodyText"/>
      </w:pPr>
      <w:r>
        <w:t xml:space="preserve">Authorized Signature</w:t>
      </w:r>
      <w:r>
        <w:br/>
      </w:r>
      <w:r>
        <w:rPr>
          <w:bCs/>
          <w:b/>
        </w:rPr>
        <w:t xml:space="preserve">Kenji Tanaka</w:t>
      </w:r>
      <w:r>
        <w:br/>
      </w:r>
      <w:r>
        <w:t xml:space="preserve">Senior Petroleum Engineer</w:t>
      </w:r>
    </w:p>
    <w:p>
      <w:pPr>
        <w:pStyle w:val="BodyText"/>
      </w:pPr>
      <w:r>
        <w:t xml:space="preserve">Accepted By</w:t>
      </w:r>
      <w:r>
        <w:br/>
      </w:r>
      <w:r>
        <w:rPr>
          <w:bCs/>
          <w:b/>
        </w:rPr>
        <w:t xml:space="preserve">Global Petrochemical Industries</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2026-10-10T02:33:11Z</dcterms:created>
  <dcterms:modified xsi:type="dcterms:W3CDTF">2026-10-10T02:33:11Z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