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Petroleum</w:t>
      </w:r>
      <w:r>
        <w:t xml:space="preserve"> </w:t>
      </w:r>
      <w:r>
        <w:t xml:space="preserve">Engineering</w:t>
      </w:r>
      <w:r>
        <w:t xml:space="preserve"> </w:t>
      </w:r>
      <w:r>
        <w:t xml:space="preserve">Services</w:t>
      </w:r>
    </w:p>
    <w:bookmarkStart w:id="20" w:name="arctic-subsea-engineering-ltd."/>
    <w:p>
      <w:pPr>
        <w:pStyle w:val="Heading1"/>
      </w:pPr>
      <w:r>
        <w:t xml:space="preserve">Arctic Subsea Engineering Ltd.</w:t>
      </w:r>
    </w:p>
    <w:p>
      <w:pPr>
        <w:pStyle w:val="FirstParagraph"/>
      </w:pPr>
      <w:r>
        <w:t xml:space="preserve">Registered Office: 1-2-3 Marunouchi, Chiyoda-ku</w:t>
      </w:r>
    </w:p>
    <w:p>
      <w:pPr>
        <w:pStyle w:val="BodyText"/>
      </w:pPr>
      <w:r>
        <w:t xml:space="preserve">Tokyo, Japan 100-0005</w:t>
      </w:r>
    </w:p>
    <w:p>
      <w:pPr>
        <w:pStyle w:val="BodyText"/>
      </w:pPr>
      <w:r>
        <w:t xml:space="preserve">Tel: +81-3-5555-0199 | Email: billing@arctic-subsea.jp</w:t>
      </w:r>
    </w:p>
    <w:p>
      <w:pPr>
        <w:pStyle w:val="BodyText"/>
      </w:pPr>
      <w:r>
        <w:t xml:space="preserve">Corporate Number: 1010-4010-123456</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INV-JP-2023-0892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Reference:</w:t>
      </w:r>
      <w:r>
        <w:t xml:space="preserve"> </w:t>
      </w:r>
      <w:r>
        <w:t xml:space="preserve">Tokai Basin Reservoir Optimization</w:t>
      </w:r>
    </w:p>
    <w:bookmarkEnd w:id="21"/>
    <w:bookmarkStart w:id="22" w:name="bill-to"/>
    <w:p>
      <w:pPr>
        <w:pStyle w:val="Heading3"/>
      </w:pPr>
      <w:r>
        <w:t xml:space="preserve">Bill To:</w:t>
      </w:r>
    </w:p>
    <w:p>
      <w:pPr>
        <w:pStyle w:val="FirstParagraph"/>
      </w:pPr>
      <w:r>
        <w:rPr>
          <w:bCs/>
          <w:b/>
        </w:rPr>
        <w:t xml:space="preserve">Pacific Energy Resources Co., Ltd.</w:t>
      </w:r>
    </w:p>
    <w:p>
      <w:pPr>
        <w:pStyle w:val="BodyText"/>
      </w:pPr>
      <w:r>
        <w:t xml:space="preserve">Attn: Procurement Department</w:t>
      </w:r>
    </w:p>
    <w:p>
      <w:pPr>
        <w:pStyle w:val="BodyText"/>
      </w:pPr>
      <w:r>
        <w:t xml:space="preserve">8-1-5 Otemachi, Chiyoda-ku</w:t>
      </w:r>
    </w:p>
    <w:p>
      <w:pPr>
        <w:pStyle w:val="BodyText"/>
      </w:pPr>
      <w:r>
        <w:t xml:space="preserve">Tokyo, Japan 100-0004</w:t>
      </w:r>
    </w:p>
    <w:p>
      <w:pPr>
        <w:pStyle w:val="BodyText"/>
      </w:pPr>
      <w:r>
        <w:t xml:space="preserve">Japan</w:t>
      </w:r>
    </w:p>
    <w:bookmarkEnd w:id="22"/>
    <w:bookmarkStart w:id="23" w:name="service-provider-details"/>
    <w:p>
      <w:pPr>
        <w:pStyle w:val="Heading3"/>
      </w:pPr>
      <w:r>
        <w:t xml:space="preserve">Service Provider Details:</w:t>
      </w:r>
    </w:p>
    <w:p>
      <w:pPr>
        <w:pStyle w:val="FirstParagraph"/>
      </w:pPr>
      <w:r>
        <w:rPr>
          <w:bCs/>
          <w:b/>
        </w:rPr>
        <w:t xml:space="preserve">Dr. Elena Rostova</w:t>
      </w:r>
    </w:p>
    <w:p>
      <w:pPr>
        <w:pStyle w:val="BodyText"/>
      </w:pPr>
      <w:r>
        <w:t xml:space="preserve">Senior Petroleum Engineer</w:t>
      </w:r>
    </w:p>
    <w:p>
      <w:pPr>
        <w:pStyle w:val="BodyText"/>
      </w:pPr>
      <w:r>
        <w:t xml:space="preserve">License No: PE-JP-99821</w:t>
      </w:r>
    </w:p>
    <w:p>
      <w:pPr>
        <w:pStyle w:val="BodyText"/>
      </w:pPr>
      <w:r>
        <w:t xml:space="preserve">Specialization: Reservoir Simulation &amp; Enhanced Oil Recovery</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(JPY)</w:t>
            </w:r>
          </w:p>
        </w:tc>
        <w:tc>
          <w:tcPr/>
          <w:p>
            <w:pPr>
              <w:pStyle w:val="Compact"/>
              <w:jc w:val="left"/>
            </w:pPr>
            <w:r>
              <w:t xml:space="preserve">Amount (JPY)</w:t>
            </w:r>
          </w:p>
        </w:tc>
      </w:tr>
      <w:tr>
        <w:tc>
          <w:tcPr/>
          <w:p>
            <w:pPr>
              <w:pStyle w:val="Compact"/>
              <w:jc w:val="left"/>
            </w:pPr>
            <w:r>
              <w:t xml:space="preserve">1</w:t>
            </w:r>
          </w:p>
        </w:tc>
        <w:tc>
          <w:tcPr/>
          <w:p>
            <w:pPr>
              <w:pStyle w:val="Compact"/>
              <w:jc w:val="left"/>
            </w:pPr>
            <w:r>
              <w:rPr>
                <w:bCs/>
                <w:b/>
              </w:rPr>
              <w:t xml:space="preserve">Reservoir Characterization Analysis</w:t>
            </w:r>
            <w:r>
              <w:br/>
            </w:r>
            <w:r>
              <w:t xml:space="preserve">Comprehensive evaluation of subsurface data for the Tokai Basin project. This service includes the interpretation of seismic data, well logs, and core samples to determine reservoir properties such as porosity, permeability, and saturation. As a specialized Petroleum Engineer operating within the regulatory framework of Japan Tokyo, this analysis ensures compliance with local geological survey standards.</w:t>
            </w:r>
          </w:p>
        </w:tc>
        <w:tc>
          <w:tcPr/>
          <w:p>
            <w:pPr>
              <w:pStyle w:val="Compact"/>
              <w:jc w:val="left"/>
            </w:pPr>
            <w:r>
              <w:t xml:space="preserve">40.0</w:t>
            </w:r>
          </w:p>
        </w:tc>
        <w:tc>
          <w:tcPr/>
          <w:p>
            <w:pPr>
              <w:pStyle w:val="Compact"/>
              <w:jc w:val="left"/>
            </w:pPr>
            <w:r>
              <w:t xml:space="preserve">¥45,000</w:t>
            </w:r>
          </w:p>
        </w:tc>
        <w:tc>
          <w:tcPr/>
          <w:p>
            <w:pPr>
              <w:pStyle w:val="Compact"/>
              <w:jc w:val="left"/>
            </w:pPr>
            <w:r>
              <w:t xml:space="preserve">¥1,800,000</w:t>
            </w:r>
          </w:p>
        </w:tc>
      </w:tr>
      <w:tr>
        <w:tc>
          <w:tcPr/>
          <w:p>
            <w:pPr>
              <w:pStyle w:val="Compact"/>
              <w:jc w:val="left"/>
            </w:pPr>
            <w:r>
              <w:t xml:space="preserve">2</w:t>
            </w:r>
          </w:p>
        </w:tc>
        <w:tc>
          <w:tcPr/>
          <w:p>
            <w:pPr>
              <w:pStyle w:val="Compact"/>
              <w:jc w:val="left"/>
            </w:pPr>
            <w:r>
              <w:rPr>
                <w:bCs/>
                <w:b/>
              </w:rPr>
              <w:t xml:space="preserve">Enhanced Oil Recovery (EOR) Strategy Development</w:t>
            </w:r>
            <w:r>
              <w:br/>
            </w:r>
            <w:r>
              <w:t xml:space="preserve">Design and simulation of thermal and chemical EOR methods tailored for heavy crude deposits. This phase involved running complex numerical simulations to predict recovery factors and optimize injection parameters. The strategy is specifically adapted for the unique geological conditions found in offshore fields near Japan Tokyo, maximizing extraction efficiency while minimizing environmental impact.</w:t>
            </w:r>
          </w:p>
        </w:tc>
        <w:tc>
          <w:tcPr/>
          <w:p>
            <w:pPr>
              <w:pStyle w:val="Compact"/>
              <w:jc w:val="left"/>
            </w:pPr>
            <w:r>
              <w:t xml:space="preserve">60.0</w:t>
            </w:r>
          </w:p>
        </w:tc>
        <w:tc>
          <w:tcPr/>
          <w:p>
            <w:pPr>
              <w:pStyle w:val="Compact"/>
              <w:jc w:val="left"/>
            </w:pPr>
            <w:r>
              <w:t xml:space="preserve">¥45,000</w:t>
            </w:r>
          </w:p>
        </w:tc>
        <w:tc>
          <w:tcPr/>
          <w:p>
            <w:pPr>
              <w:pStyle w:val="Compact"/>
              <w:jc w:val="left"/>
            </w:pPr>
            <w:r>
              <w:t xml:space="preserve">¥2,700,000</w:t>
            </w:r>
          </w:p>
        </w:tc>
      </w:tr>
      <w:tr>
        <w:tc>
          <w:tcPr/>
          <w:p>
            <w:pPr>
              <w:pStyle w:val="Compact"/>
              <w:jc w:val="left"/>
            </w:pPr>
            <w:r>
              <w:t xml:space="preserve">3</w:t>
            </w:r>
          </w:p>
        </w:tc>
        <w:tc>
          <w:tcPr/>
          <w:p>
            <w:pPr>
              <w:pStyle w:val="Compact"/>
              <w:jc w:val="left"/>
            </w:pPr>
            <w:r>
              <w:rPr>
                <w:bCs/>
                <w:b/>
              </w:rPr>
              <w:t xml:space="preserve">Well Completion Design &amp; Optimization</w:t>
            </w:r>
            <w:r>
              <w:br/>
            </w:r>
            <w:r>
              <w:t xml:space="preserve">Engineering design for horizontal well completions including casing selection, cementing programs, and perforation strategies. This service ensures the structural integrity of the wellbore under high-pressure conditions typical of deep-water exploration. The design adheres strictly to the safety protocols mandated by the Ministry of Economy, Trade and Industry (METI) in Japan.</w:t>
            </w:r>
          </w:p>
        </w:tc>
        <w:tc>
          <w:tcPr/>
          <w:p>
            <w:pPr>
              <w:pStyle w:val="Compact"/>
              <w:jc w:val="left"/>
            </w:pPr>
            <w:r>
              <w:t xml:space="preserve">35.0</w:t>
            </w:r>
          </w:p>
        </w:tc>
        <w:tc>
          <w:tcPr/>
          <w:p>
            <w:pPr>
              <w:pStyle w:val="Compact"/>
              <w:jc w:val="left"/>
            </w:pPr>
            <w:r>
              <w:t xml:space="preserve">¥45,000</w:t>
            </w:r>
          </w:p>
        </w:tc>
        <w:tc>
          <w:tcPr/>
          <w:p>
            <w:pPr>
              <w:pStyle w:val="Compact"/>
              <w:jc w:val="left"/>
            </w:pPr>
            <w:r>
              <w:t xml:space="preserve">¥1,575,000</w:t>
            </w:r>
          </w:p>
        </w:tc>
      </w:tr>
      <w:tr>
        <w:tc>
          <w:tcPr/>
          <w:p>
            <w:pPr>
              <w:pStyle w:val="Compact"/>
              <w:jc w:val="left"/>
            </w:pPr>
            <w:r>
              <w:t xml:space="preserve">4</w:t>
            </w:r>
          </w:p>
        </w:tc>
        <w:tc>
          <w:tcPr/>
          <w:p>
            <w:pPr>
              <w:pStyle w:val="Compact"/>
              <w:jc w:val="left"/>
            </w:pPr>
            <w:r>
              <w:rPr>
                <w:bCs/>
                <w:b/>
              </w:rPr>
              <w:t xml:space="preserve">Production Forecasting &amp; Economic Analysis</w:t>
            </w:r>
            <w:r>
              <w:br/>
            </w:r>
            <w:r>
              <w:t xml:space="preserve">Generation of long-term production profiles and Net Present Value (NPV) calculations. This analysis assists management in making informed capital expenditure decisions. The forecast accounts for market volatility and operational costs specific to the Japan Tokyo energy sector, providing a realistic financial outlook for the project lifecycle.</w:t>
            </w:r>
          </w:p>
        </w:tc>
        <w:tc>
          <w:tcPr/>
          <w:p>
            <w:pPr>
              <w:pStyle w:val="Compact"/>
              <w:jc w:val="left"/>
            </w:pPr>
            <w:r>
              <w:t xml:space="preserve">25.0</w:t>
            </w:r>
          </w:p>
        </w:tc>
        <w:tc>
          <w:tcPr/>
          <w:p>
            <w:pPr>
              <w:pStyle w:val="Compact"/>
              <w:jc w:val="left"/>
            </w:pPr>
            <w:r>
              <w:t xml:space="preserve">¥45,000</w:t>
            </w:r>
          </w:p>
        </w:tc>
        <w:tc>
          <w:tcPr/>
          <w:p>
            <w:pPr>
              <w:pStyle w:val="Compact"/>
              <w:jc w:val="left"/>
            </w:pPr>
            <w:r>
              <w:t xml:space="preserve">¥1,125,000</w:t>
            </w:r>
          </w:p>
        </w:tc>
      </w:tr>
      <w:tr>
        <w:tc>
          <w:tcPr/>
          <w:p>
            <w:pPr>
              <w:pStyle w:val="Compact"/>
              <w:jc w:val="left"/>
            </w:pPr>
            <w:r>
              <w:t xml:space="preserve">5</w:t>
            </w:r>
          </w:p>
        </w:tc>
        <w:tc>
          <w:tcPr/>
          <w:p>
            <w:pPr>
              <w:pStyle w:val="Compact"/>
              <w:jc w:val="left"/>
            </w:pPr>
            <w:r>
              <w:rPr>
                <w:bCs/>
                <w:b/>
              </w:rPr>
              <w:t xml:space="preserve">Regulatory Compliance Reporting</w:t>
            </w:r>
            <w:r>
              <w:br/>
            </w:r>
            <w:r>
              <w:t xml:space="preserve">Preparation of technical documentation required for environmental impact assessments and operational permits. As a Petroleum Engineer providing services in Japan Tokyo, ensuring that all extraction plans meet the rigorous environmental standards set by local authorities is critical. This includes waste management plans and spill response protocols.</w:t>
            </w:r>
          </w:p>
        </w:tc>
        <w:tc>
          <w:tcPr/>
          <w:p>
            <w:pPr>
              <w:pStyle w:val="Compact"/>
              <w:jc w:val="left"/>
            </w:pPr>
            <w:r>
              <w:t xml:space="preserve">20.0</w:t>
            </w:r>
          </w:p>
        </w:tc>
        <w:tc>
          <w:tcPr/>
          <w:p>
            <w:pPr>
              <w:pStyle w:val="Compact"/>
              <w:jc w:val="left"/>
            </w:pPr>
            <w:r>
              <w:t xml:space="preserve">¥45,000</w:t>
            </w:r>
          </w:p>
        </w:tc>
        <w:tc>
          <w:tcPr/>
          <w:p>
            <w:pPr>
              <w:pStyle w:val="Compact"/>
              <w:jc w:val="left"/>
            </w:pPr>
            <w:r>
              <w:t xml:space="preserve">¥900,000</w:t>
            </w:r>
          </w:p>
        </w:tc>
      </w:tr>
    </w:tbl>
    <w:p>
      <w:pPr>
        <w:pStyle w:val="BodyText"/>
      </w:pPr>
      <w:r>
        <w:t xml:space="preserve">Subtotal:</w:t>
      </w:r>
      <w:r>
        <w:t xml:space="preserve"> </w:t>
      </w:r>
      <w:r>
        <w:t xml:space="preserve">¥8,100,000</w:t>
      </w:r>
    </w:p>
    <w:p>
      <w:pPr>
        <w:pStyle w:val="BodyText"/>
      </w:pPr>
      <w:r>
        <w:t xml:space="preserve">Consumption Tax (10%):</w:t>
      </w:r>
      <w:r>
        <w:t xml:space="preserve"> </w:t>
      </w:r>
      <w:r>
        <w:t xml:space="preserve">¥810,000</w:t>
      </w:r>
    </w:p>
    <w:p>
      <w:pPr>
        <w:pStyle w:val="BodyText"/>
      </w:pPr>
      <w:r>
        <w:t xml:space="preserve">Total Due:</w:t>
      </w:r>
      <w:r>
        <w:t xml:space="preserve"> </w:t>
      </w:r>
      <w:r>
        <w:t xml:space="preserve">¥8,910,000</w:t>
      </w:r>
    </w:p>
    <w:bookmarkStart w:id="24" w:name="terms-and-conditions"/>
    <w:p>
      <w:pPr>
        <w:pStyle w:val="Heading4"/>
      </w:pPr>
      <w:r>
        <w:t xml:space="preserve">Terms and Conditions:</w:t>
      </w:r>
    </w:p>
    <w:p>
      <w:pPr>
        <w:pStyle w:val="FirstParagraph"/>
      </w:pPr>
      <w:r>
        <w:t xml:space="preserve">1. Payment is due within 30 days of the invoice date. Late payments may incur a penalty interest rate of 1.5% per month.</w:t>
      </w:r>
    </w:p>
    <w:p>
      <w:pPr>
        <w:pStyle w:val="BodyText"/>
      </w:pPr>
      <w:r>
        <w:t xml:space="preserve">2. All services rendered by the Petroleum Engineer are subject to the professional standards and ethical guidelines established by the Japan Society of Petroleum Engineers.</w:t>
      </w:r>
    </w:p>
    <w:p>
      <w:pPr>
        <w:pStyle w:val="BodyText"/>
      </w:pPr>
      <w:r>
        <w:t xml:space="preserve">3. This Invoice is issued in accordance with the tax laws of Japan. The consumption tax rate applied is 10%, effective as of October 1, 2019.</w:t>
      </w:r>
    </w:p>
    <w:p>
      <w:pPr>
        <w:pStyle w:val="BodyText"/>
      </w:pPr>
      <w:r>
        <w:t xml:space="preserve">4. Any disputes regarding the scope of work or technical deliverables must be raised in writing within 14 days of receipt of this invoice.</w:t>
      </w:r>
    </w:p>
    <w:p>
      <w:pPr>
        <w:pStyle w:val="BodyText"/>
      </w:pPr>
      <w:r>
        <w:t xml:space="preserve">5. Please reference the Invoice Number (INV-JP-2023-0892) on all payments.</w:t>
      </w:r>
    </w:p>
    <w:bookmarkEnd w:id="24"/>
    <w:bookmarkStart w:id="25" w:name="bank-transfer-details"/>
    <w:p>
      <w:pPr>
        <w:pStyle w:val="Heading4"/>
      </w:pPr>
      <w:r>
        <w:t xml:space="preserve">Bank Transfer Details:</w:t>
      </w:r>
    </w:p>
    <w:p>
      <w:pPr>
        <w:pStyle w:val="FirstParagraph"/>
      </w:pPr>
      <w:r>
        <w:rPr>
          <w:bCs/>
          <w:b/>
        </w:rPr>
        <w:t xml:space="preserve">Bank Name:</w:t>
      </w:r>
      <w:r>
        <w:t xml:space="preserve"> </w:t>
      </w:r>
      <w:r>
        <w:t xml:space="preserve">Mitsubishi UFJ Financial Group (MUFG)</w:t>
      </w:r>
    </w:p>
    <w:p>
      <w:pPr>
        <w:pStyle w:val="BodyText"/>
      </w:pPr>
      <w:r>
        <w:rPr>
          <w:bCs/>
          <w:b/>
        </w:rPr>
        <w:t xml:space="preserve">Branch:</w:t>
      </w:r>
      <w:r>
        <w:t xml:space="preserve"> </w:t>
      </w:r>
      <w:r>
        <w:t xml:space="preserve">Marunouchi Branch (Code: 001)</w:t>
      </w:r>
    </w:p>
    <w:p>
      <w:pPr>
        <w:pStyle w:val="BodyText"/>
      </w:pPr>
      <w:r>
        <w:rPr>
          <w:bCs/>
          <w:b/>
        </w:rPr>
        <w:t xml:space="preserve">Account Type:</w:t>
      </w:r>
      <w:r>
        <w:t xml:space="preserve"> </w:t>
      </w:r>
      <w:r>
        <w:t xml:space="preserve">Ordinary Account</w:t>
      </w:r>
    </w:p>
    <w:p>
      <w:pPr>
        <w:pStyle w:val="BodyText"/>
      </w:pPr>
      <w:r>
        <w:rPr>
          <w:bCs/>
          <w:b/>
        </w:rPr>
        <w:t xml:space="preserve">Account Number:</w:t>
      </w:r>
      <w:r>
        <w:t xml:space="preserve"> </w:t>
      </w:r>
      <w:r>
        <w:t xml:space="preserve">1234567</w:t>
      </w:r>
    </w:p>
    <w:p>
      <w:pPr>
        <w:pStyle w:val="BodyText"/>
      </w:pPr>
      <w:r>
        <w:rPr>
          <w:bCs/>
          <w:b/>
        </w:rPr>
        <w:t xml:space="preserve">Account Name:</w:t>
      </w:r>
      <w:r>
        <w:t xml:space="preserve"> </w:t>
      </w:r>
      <w:r>
        <w:t xml:space="preserve">Arctic Subsea Engineering Ltd.</w:t>
      </w:r>
    </w:p>
    <w:bookmarkEnd w:id="25"/>
    <w:p>
      <w:pPr>
        <w:pStyle w:val="BodyText"/>
      </w:pPr>
      <w:r>
        <w:t xml:space="preserve">Thank you for your business. We appreciate your trust in our engineering expertise.</w:t>
      </w:r>
    </w:p>
    <w:p>
      <w:pPr>
        <w:pStyle w:val="BodyText"/>
      </w:pPr>
      <w:r>
        <w:t xml:space="preserve">Arctic Subsea Engineering Ltd. | Tokyo, Japan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Petroleum Engineering Services</dc:title>
  <dc:creator/>
  <dc:language>en</dc:language>
  <cp:keywords/>
  <dcterms:created xsi:type="dcterms:W3CDTF">2026-10-10T02:57:14Z</dcterms:created>
  <dcterms:modified xsi:type="dcterms:W3CDTF">2026-10-10T02:57:14Z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