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lmaty-energy-solutions-llp"/>
    <w:p>
      <w:pPr>
        <w:pStyle w:val="Heading1"/>
      </w:pPr>
      <w:r>
        <w:t xml:space="preserve">Almaty Energy Solutions LLP</w:t>
      </w:r>
    </w:p>
    <w:p>
      <w:pPr>
        <w:pStyle w:val="FirstParagraph"/>
      </w:pPr>
      <w:r>
        <w:t xml:space="preserve">Specialized Petroleum Engineering Consultancy</w:t>
      </w:r>
    </w:p>
    <w:p>
      <w:pPr>
        <w:pStyle w:val="BodyText"/>
      </w:pPr>
      <w:r>
        <w:t xml:space="preserve">12/4 Abai Avenue, Almaty, 050000, Kazakhstan</w:t>
      </w:r>
    </w:p>
    <w:p>
      <w:pPr>
        <w:pStyle w:val="BodyText"/>
      </w:pPr>
      <w:r>
        <w:t xml:space="preserve">BIN: 123456789012</w:t>
      </w:r>
    </w:p>
    <w:p>
      <w:pPr>
        <w:pStyle w:val="BodyText"/>
      </w:pPr>
      <w:r>
        <w:t xml:space="preserve">Email: billing@almatyenergy.kz | Phone: +7 (727) 123-45-67</w:t>
      </w:r>
    </w:p>
    <w:bookmarkEnd w:id="20"/>
    <w:bookmarkStart w:id="21" w:name="invoice"/>
    <w:p>
      <w:pPr>
        <w:pStyle w:val="Heading2"/>
      </w:pPr>
      <w:r>
        <w:t xml:space="preserve">INVOICE</w:t>
      </w:r>
    </w:p>
    <w:p>
      <w:pPr>
        <w:pStyle w:val="FirstParagraph"/>
      </w:pPr>
      <w:r>
        <w:rPr>
          <w:bCs/>
          <w:b/>
        </w:rPr>
        <w:t xml:space="preserve">Invoice #:</w:t>
      </w:r>
      <w:r>
        <w:t xml:space="preserve"> </w:t>
      </w:r>
      <w:r>
        <w:t xml:space="preserve">AE-2023-089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
    <w:p>
      <w:pPr>
        <w:pStyle w:val="Heading3"/>
      </w:pPr>
      <w:r>
        <w:t xml:space="preserve">From:</w:t>
      </w:r>
    </w:p>
    <w:p>
      <w:pPr>
        <w:pStyle w:val="FirstParagraph"/>
      </w:pPr>
      <w:r>
        <w:rPr>
          <w:bCs/>
          <w:b/>
        </w:rPr>
        <w:t xml:space="preserve">Almaty Energy Solutions LLP</w:t>
      </w:r>
      <w:r>
        <w:br/>
      </w:r>
      <w:r>
        <w:t xml:space="preserve">12/4 Abai Avenue</w:t>
      </w:r>
      <w:r>
        <w:br/>
      </w:r>
      <w:r>
        <w:t xml:space="preserve">Almaty, Kazakhstan</w:t>
      </w:r>
      <w:r>
        <w:br/>
      </w:r>
      <w:r>
        <w:t xml:space="preserve">BIN: 123456789012</w:t>
      </w:r>
    </w:p>
    <w:bookmarkEnd w:id="22"/>
    <w:bookmarkStart w:id="23" w:name="bill-to"/>
    <w:p>
      <w:pPr>
        <w:pStyle w:val="Heading3"/>
      </w:pPr>
      <w:r>
        <w:t xml:space="preserve">Bill To:</w:t>
      </w:r>
    </w:p>
    <w:p>
      <w:pPr>
        <w:pStyle w:val="FirstParagraph"/>
      </w:pPr>
      <w:r>
        <w:rPr>
          <w:bCs/>
          <w:b/>
        </w:rPr>
        <w:t xml:space="preserve">KazMunayGas Exploration &amp; Production</w:t>
      </w:r>
      <w:r>
        <w:br/>
      </w:r>
      <w:r>
        <w:t xml:space="preserve">Attn: Procurement Department</w:t>
      </w:r>
      <w:r>
        <w:br/>
      </w:r>
      <w:r>
        <w:t xml:space="preserve">20/1 Dostyk Avenue</w:t>
      </w:r>
      <w:r>
        <w:br/>
      </w:r>
      <w:r>
        <w:t xml:space="preserve">Almaty, Kazakhstan</w:t>
      </w:r>
      <w:r>
        <w:br/>
      </w:r>
      <w:r>
        <w:t xml:space="preserve">BIN: 987654321098</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rPr>
                <w:bCs/>
                <w:b/>
              </w:rPr>
              <w:t xml:space="preserve">Reservoir Characterization Analysis</w:t>
            </w:r>
            <w:r>
              <w:br/>
            </w:r>
            <w:r>
              <w:t xml:space="preserve">Comprehensive evaluation of subsurface reservoir properties in the Tengiz field sector. This service includes seismic data interpretation, petrophysical analysis, and fluid property assessment to optimize recovery strategies.</w:t>
            </w:r>
          </w:p>
        </w:tc>
        <w:tc>
          <w:tcPr/>
          <w:p>
            <w:pPr>
              <w:pStyle w:val="Compact"/>
              <w:jc w:val="left"/>
            </w:pPr>
            <w:r>
              <w:t xml:space="preserve">1</w:t>
            </w:r>
          </w:p>
        </w:tc>
        <w:tc>
          <w:tcPr/>
          <w:p>
            <w:pPr>
              <w:pStyle w:val="Compact"/>
              <w:jc w:val="left"/>
            </w:pPr>
            <w:r>
              <w:t xml:space="preserve">2,500,000.00</w:t>
            </w:r>
          </w:p>
        </w:tc>
        <w:tc>
          <w:tcPr/>
          <w:p>
            <w:pPr>
              <w:pStyle w:val="Compact"/>
              <w:jc w:val="left"/>
            </w:pPr>
            <w:r>
              <w:t xml:space="preserve">2,500,000.00</w:t>
            </w:r>
          </w:p>
        </w:tc>
      </w:tr>
      <w:tr>
        <w:tc>
          <w:tcPr/>
          <w:p>
            <w:pPr>
              <w:pStyle w:val="Compact"/>
              <w:jc w:val="left"/>
            </w:pPr>
            <w:r>
              <w:rPr>
                <w:bCs/>
                <w:b/>
              </w:rPr>
              <w:t xml:space="preserve">Well Completion Design Consultation</w:t>
            </w:r>
            <w:r>
              <w:br/>
            </w:r>
            <w:r>
              <w:t xml:space="preserve">Expert consultation provided by a Senior Petroleum Engineer for the design of horizontal well completions. Includes casing design, cementing program recommendations, and perforation strategy to maximize well productivity.</w:t>
            </w:r>
          </w:p>
        </w:tc>
        <w:tc>
          <w:tcPr/>
          <w:p>
            <w:pPr>
              <w:pStyle w:val="Compact"/>
              <w:jc w:val="left"/>
            </w:pPr>
            <w:r>
              <w:t xml:space="preserve">40 hours</w:t>
            </w:r>
          </w:p>
        </w:tc>
        <w:tc>
          <w:tcPr/>
          <w:p>
            <w:pPr>
              <w:pStyle w:val="Compact"/>
              <w:jc w:val="left"/>
            </w:pPr>
            <w:r>
              <w:t xml:space="preserve">45,000.00</w:t>
            </w:r>
          </w:p>
        </w:tc>
        <w:tc>
          <w:tcPr/>
          <w:p>
            <w:pPr>
              <w:pStyle w:val="Compact"/>
              <w:jc w:val="left"/>
            </w:pPr>
            <w:r>
              <w:t xml:space="preserve">1,800,000.00</w:t>
            </w:r>
          </w:p>
        </w:tc>
      </w:tr>
      <w:tr>
        <w:tc>
          <w:tcPr/>
          <w:p>
            <w:pPr>
              <w:pStyle w:val="Compact"/>
              <w:jc w:val="left"/>
            </w:pPr>
            <w:r>
              <w:rPr>
                <w:bCs/>
                <w:b/>
              </w:rPr>
              <w:t xml:space="preserve">Enhanced Oil Recovery (EOR) Feasibility Study</w:t>
            </w:r>
            <w:r>
              <w:br/>
            </w:r>
            <w:r>
              <w:t xml:space="preserve">Technical assessment of CO2 injection potential for mature fields in the Caspian region. The study evaluates economic viability, technical constraints, and environmental impact in accordance with Kazakhstan national regulations.</w:t>
            </w:r>
          </w:p>
        </w:tc>
        <w:tc>
          <w:tcPr/>
          <w:p>
            <w:pPr>
              <w:pStyle w:val="Compact"/>
              <w:jc w:val="left"/>
            </w:pPr>
            <w:r>
              <w:t xml:space="preserve">1</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rPr>
                <w:bCs/>
                <w:b/>
              </w:rPr>
              <w:t xml:space="preserve">Production Optimization Audit</w:t>
            </w:r>
            <w:r>
              <w:br/>
            </w:r>
            <w:r>
              <w:t xml:space="preserve">On-site audit of production facilities in Almaty region. Analysis of flow assurance issues, artificial lift system efficiency, and surface facility bottlenecks. Recommendations provided to reduce downtime and increase output.</w:t>
            </w:r>
          </w:p>
        </w:tc>
        <w:tc>
          <w:tcPr/>
          <w:p>
            <w:pPr>
              <w:pStyle w:val="Compact"/>
              <w:jc w:val="left"/>
            </w:pPr>
            <w:r>
              <w:t xml:space="preserve">1</w:t>
            </w:r>
          </w:p>
        </w:tc>
        <w:tc>
          <w:tcPr/>
          <w:p>
            <w:pPr>
              <w:pStyle w:val="Compact"/>
              <w:jc w:val="left"/>
            </w:pPr>
            <w:r>
              <w:t xml:space="preserve">1,750,000.00</w:t>
            </w:r>
          </w:p>
        </w:tc>
        <w:tc>
          <w:tcPr/>
          <w:p>
            <w:pPr>
              <w:pStyle w:val="Compact"/>
              <w:jc w:val="left"/>
            </w:pPr>
            <w:r>
              <w:t xml:space="preserve">1,750,000.00</w:t>
            </w:r>
          </w:p>
        </w:tc>
      </w:tr>
      <w:tr>
        <w:tc>
          <w:tcPr/>
          <w:p>
            <w:pPr>
              <w:pStyle w:val="Compact"/>
              <w:jc w:val="left"/>
            </w:pPr>
            <w:r>
              <w:rPr>
                <w:bCs/>
                <w:b/>
              </w:rPr>
              <w:t xml:space="preserve">Drilling Engineering Support</w:t>
            </w:r>
            <w:r>
              <w:br/>
            </w:r>
            <w:r>
              <w:t xml:space="preserve">Real-time drilling engineering support for deep-water exploration wells. Includes wellbore stability analysis, mud weight window optimization, and kick detection protocols tailored to local geological conditions.</w:t>
            </w:r>
          </w:p>
        </w:tc>
        <w:tc>
          <w:tcPr/>
          <w:p>
            <w:pPr>
              <w:pStyle w:val="Compact"/>
              <w:jc w:val="left"/>
            </w:pPr>
            <w:r>
              <w:t xml:space="preserve">25 hours</w:t>
            </w:r>
          </w:p>
        </w:tc>
        <w:tc>
          <w:tcPr/>
          <w:p>
            <w:pPr>
              <w:pStyle w:val="Compact"/>
              <w:jc w:val="left"/>
            </w:pPr>
            <w:r>
              <w:t xml:space="preserve">50,000.00</w:t>
            </w:r>
          </w:p>
        </w:tc>
        <w:tc>
          <w:tcPr/>
          <w:p>
            <w:pPr>
              <w:pStyle w:val="Compact"/>
              <w:jc w:val="left"/>
            </w:pPr>
            <w:r>
              <w:t xml:space="preserve">1,250,000.00</w:t>
            </w:r>
          </w:p>
        </w:tc>
      </w:tr>
    </w:tbl>
    <w:p>
      <w:pPr>
        <w:pStyle w:val="BodyText"/>
      </w:pPr>
      <w:r>
        <w:t xml:space="preserve">Subtotal:</w:t>
      </w:r>
      <w:r>
        <w:t xml:space="preserve"> </w:t>
      </w:r>
      <w:r>
        <w:t xml:space="preserve">10,500,000.00 KZT</w:t>
      </w:r>
    </w:p>
    <w:p>
      <w:pPr>
        <w:pStyle w:val="BodyText"/>
      </w:pPr>
      <w:r>
        <w:t xml:space="preserve">VAT (12%):</w:t>
      </w:r>
      <w:r>
        <w:t xml:space="preserve"> </w:t>
      </w:r>
      <w:r>
        <w:t xml:space="preserve">1,260,000.00 KZT</w:t>
      </w:r>
    </w:p>
    <w:p>
      <w:pPr>
        <w:pStyle w:val="BodyText"/>
      </w:pPr>
      <w:r>
        <w:t xml:space="preserve">Total Amount Due:</w:t>
      </w:r>
      <w:r>
        <w:t xml:space="preserve"> </w:t>
      </w:r>
      <w:r>
        <w:t xml:space="preserve">11,760,000.00 KZT</w:t>
      </w:r>
    </w:p>
    <w:bookmarkStart w:id="24" w:name="payment-terms-conditions"/>
    <w:p>
      <w:pPr>
        <w:pStyle w:val="Heading4"/>
      </w:pPr>
      <w:r>
        <w:t xml:space="preserve">Payment Terms &amp; Conditions:</w:t>
      </w:r>
    </w:p>
    <w:p>
      <w:pPr>
        <w:pStyle w:val="FirstParagraph"/>
      </w:pPr>
      <w:r>
        <w:t xml:space="preserve">Payment is due within 30 days of the invoice date. Please make payments via bank transfer to the following account:</w:t>
      </w:r>
    </w:p>
    <w:p>
      <w:pPr>
        <w:pStyle w:val="BodyText"/>
      </w:pPr>
      <w:r>
        <w:rPr>
          <w:bCs/>
          <w:b/>
        </w:rPr>
        <w:t xml:space="preserve">Bank Name:</w:t>
      </w:r>
      <w:r>
        <w:t xml:space="preserve"> </w:t>
      </w:r>
      <w:r>
        <w:t xml:space="preserve">Halyk Bank Kazakhstan</w:t>
      </w:r>
      <w:r>
        <w:br/>
      </w:r>
      <w:r>
        <w:rPr>
          <w:bCs/>
          <w:b/>
        </w:rPr>
        <w:t xml:space="preserve">Account Name:</w:t>
      </w:r>
      <w:r>
        <w:t xml:space="preserve"> </w:t>
      </w:r>
      <w:r>
        <w:t xml:space="preserve">Almaty Energy Solutions LLP</w:t>
      </w:r>
      <w:r>
        <w:br/>
      </w:r>
      <w:r>
        <w:rPr>
          <w:bCs/>
          <w:b/>
        </w:rPr>
        <w:t xml:space="preserve">Account Number:</w:t>
      </w:r>
      <w:r>
        <w:t xml:space="preserve"> </w:t>
      </w:r>
      <w:r>
        <w:t xml:space="preserve">KZ99 1234 5678 9012 3456</w:t>
      </w:r>
      <w:r>
        <w:br/>
      </w:r>
      <w:r>
        <w:rPr>
          <w:bCs/>
          <w:b/>
        </w:rPr>
        <w:t xml:space="preserve">SWIFT Code:</w:t>
      </w:r>
      <w:r>
        <w:t xml:space="preserve"> </w:t>
      </w:r>
      <w:r>
        <w:t xml:space="preserve">HABA KZKA</w:t>
      </w:r>
    </w:p>
    <w:bookmarkEnd w:id="24"/>
    <w:bookmarkStart w:id="25" w:name="service-description-details"/>
    <w:p>
      <w:pPr>
        <w:pStyle w:val="Heading4"/>
      </w:pPr>
      <w:r>
        <w:t xml:space="preserve">Service Description Details:</w:t>
      </w:r>
    </w:p>
    <w:p>
      <w:pPr>
        <w:pStyle w:val="FirstParagraph"/>
      </w:pPr>
      <w:r>
        <w:t xml:space="preserve">This invoice covers professional services rendered by certified Petroleum Engineers specializing in upstream oil and gas operations. All services were performed in compliance with international engineering standards and local regulations in Kazakhstan. The scope of work included technical analysis, field consultations, and strategic planning for hydrocarbon extraction optimization.</w:t>
      </w:r>
    </w:p>
    <w:p>
      <w:pPr>
        <w:pStyle w:val="BodyText"/>
      </w:pPr>
      <w:r>
        <w:t xml:space="preserve">Our team of Petroleum Engineers has extensive experience working with major energy companies in the Almaty region and across Kazakhstan. We provide tailored solutions that address the unique geological and operational challenges of the region's oil and gas fields.</w:t>
      </w:r>
    </w:p>
    <w:bookmarkEnd w:id="25"/>
    <w:bookmarkStart w:id="26" w:name="important-notes"/>
    <w:p>
      <w:pPr>
        <w:pStyle w:val="Heading4"/>
      </w:pPr>
      <w:r>
        <w:t xml:space="preserve">Important Notes:</w:t>
      </w:r>
    </w:p>
    <w:p>
      <w:pPr>
        <w:pStyle w:val="FirstParagraph"/>
      </w:pPr>
      <w:r>
        <w:t xml:space="preserve">All calculations are based on current market rates for petroleum engineering services in Kazakhstan. Any disputes regarding this invoice must be raised within 15 days of receipt. Late payments may incur a penalty of 0.5% per month on the outstanding balance.</w:t>
      </w:r>
    </w:p>
    <w:p>
      <w:pPr>
        <w:pStyle w:val="BodyText"/>
      </w:pPr>
      <w:r>
        <w:t xml:space="preserve">Thank you for your business. We look forward to continuing our partnership in advancing energy solutions in Kazakhstan.</w:t>
      </w:r>
    </w:p>
    <w:bookmarkEnd w:id="26"/>
    <w:p>
      <w:pPr>
        <w:pStyle w:val="BodyText"/>
      </w:pPr>
      <w:r>
        <w:t xml:space="preserve">This is a computer-generated invoice and does not require a signature. For questions, contact billing@almatyenergy.kz</w:t>
      </w:r>
    </w:p>
    <w:p>
      <w:pPr>
        <w:pStyle w:val="BodyText"/>
      </w:pPr>
      <w:r>
        <w:t xml:space="preserve">© 2023 Almaty Energy Solutions LLP.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2026-10-10T02:35:24Z</dcterms:created>
  <dcterms:modified xsi:type="dcterms:W3CDTF">2026-10-10T02:35:24Z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