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Petroleum</w:t>
      </w:r>
      <w:r>
        <w:t xml:space="preserve"> </w:t>
      </w:r>
      <w:r>
        <w:t xml:space="preserve">Engineering</w:t>
      </w:r>
      <w:r>
        <w:t xml:space="preserve"> </w:t>
      </w:r>
      <w:r>
        <w:t xml:space="preserve">Services</w:t>
      </w:r>
    </w:p>
    <w:bookmarkStart w:id="20" w:name="arctic-energy-solutions-llc"/>
    <w:p>
      <w:pPr>
        <w:pStyle w:val="Heading1"/>
      </w:pPr>
      <w:r>
        <w:t xml:space="preserve">Arctic Energy Solutions LLC</w:t>
      </w:r>
    </w:p>
    <w:p>
      <w:pPr>
        <w:pStyle w:val="FirstParagraph"/>
      </w:pPr>
      <w:r>
        <w:t xml:space="preserve">Professional Petroleum Engineering Services</w:t>
      </w:r>
    </w:p>
    <w:p>
      <w:pPr>
        <w:pStyle w:val="BodyText"/>
      </w:pPr>
      <w:r>
        <w:t xml:space="preserve">Registered Office: 123 Leninsky Prospekt, Building 4</w:t>
      </w:r>
    </w:p>
    <w:p>
      <w:pPr>
        <w:pStyle w:val="BodyText"/>
      </w:pPr>
      <w:r>
        <w:t xml:space="preserve">Moscow, Russia, 119991</w:t>
      </w:r>
    </w:p>
    <w:p>
      <w:pPr>
        <w:pStyle w:val="BodyText"/>
      </w:pPr>
      <w:r>
        <w:t xml:space="preserve">Tax ID (INN): 7701234567</w:t>
      </w:r>
    </w:p>
    <w:p>
      <w:pPr>
        <w:pStyle w:val="BodyText"/>
      </w:pPr>
      <w:r>
        <w:t xml:space="preserve">KPP: 770101001</w:t>
      </w:r>
    </w:p>
    <w:p>
      <w:pPr>
        <w:pStyle w:val="BodyText"/>
      </w:pPr>
      <w:r>
        <w:t xml:space="preserve">Email: billing@arcticenergysolutions.ru</w:t>
      </w:r>
    </w:p>
    <w:p>
      <w:pPr>
        <w:pStyle w:val="BodyText"/>
      </w:pPr>
      <w:r>
        <w:t xml:space="preserve">Phone: +7 (495) 123-45-67</w:t>
      </w:r>
    </w:p>
    <w:bookmarkEnd w:id="20"/>
    <w:bookmarkStart w:id="21" w:name="invoice"/>
    <w:p>
      <w:pPr>
        <w:pStyle w:val="Heading2"/>
      </w:pPr>
      <w:r>
        <w:t xml:space="preserve">INVOICE</w:t>
      </w:r>
    </w:p>
    <w:p>
      <w:pPr>
        <w:pStyle w:val="FirstParagraph"/>
      </w:pPr>
      <w:r>
        <w:t xml:space="preserve">Official Document</w:t>
      </w:r>
    </w:p>
    <w:bookmarkEnd w:id="21"/>
    <w:p>
      <w:pPr>
        <w:pStyle w:val="BodyText"/>
      </w:pPr>
      <w:r>
        <w:rPr>
          <w:bCs/>
          <w:b/>
        </w:rPr>
        <w:t xml:space="preserve">Billed To:</w:t>
      </w:r>
      <w:r>
        <w:br/>
      </w:r>
      <w:r>
        <w:t xml:space="preserve">Gazprom Neft Exploration Division</w:t>
      </w:r>
      <w:r>
        <w:br/>
      </w:r>
      <w:r>
        <w:t xml:space="preserve">Attn: Chief Engineering Officer</w:t>
      </w:r>
      <w:r>
        <w:br/>
      </w:r>
      <w:r>
        <w:t xml:space="preserve">6-8 Ulitsa Lesnaya</w:t>
      </w:r>
      <w:r>
        <w:br/>
      </w:r>
      <w:r>
        <w:t xml:space="preserve">Moscow, Russia, 123112</w:t>
      </w:r>
      <w:r>
        <w:br/>
      </w:r>
      <w:r>
        <w:t xml:space="preserve">Tax ID (INN): 7707890123</w:t>
      </w:r>
      <w:r>
        <w:br/>
      </w:r>
      <w:r>
        <w:t xml:space="preserve">KPP: 770701001</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Invoice Number:</w:t>
            </w:r>
          </w:p>
        </w:tc>
        <w:tc>
          <w:tcPr/>
          <w:p>
            <w:pPr>
              <w:pStyle w:val="Compact"/>
              <w:jc w:val="left"/>
            </w:pPr>
            <w:r>
              <w:t xml:space="preserve">INV-2024-PE-0892</w:t>
            </w:r>
          </w:p>
        </w:tc>
      </w:tr>
      <w:tr>
        <w:tc>
          <w:tcPr/>
          <w:p>
            <w:pPr>
              <w:pStyle w:val="Compact"/>
              <w:jc w:val="left"/>
            </w:pPr>
            <w:r>
              <w:t xml:space="preserve">Date of Issue:</w:t>
            </w:r>
          </w:p>
        </w:tc>
        <w:tc>
          <w:tcPr/>
          <w:p>
            <w:pPr>
              <w:pStyle w:val="Compact"/>
              <w:jc w:val="left"/>
            </w:pPr>
            <w:r>
              <w:t xml:space="preserve">October 15, 2024</w:t>
            </w:r>
          </w:p>
        </w:tc>
      </w:tr>
      <w:tr>
        <w:tc>
          <w:tcPr/>
          <w:p>
            <w:pPr>
              <w:pStyle w:val="Compact"/>
              <w:jc w:val="left"/>
            </w:pPr>
            <w:r>
              <w:t xml:space="preserve">Due Date:</w:t>
            </w:r>
          </w:p>
        </w:tc>
        <w:tc>
          <w:tcPr/>
          <w:p>
            <w:pPr>
              <w:pStyle w:val="Compact"/>
              <w:jc w:val="left"/>
            </w:pPr>
            <w:r>
              <w:t xml:space="preserve">November 14, 2024</w:t>
            </w:r>
          </w:p>
        </w:tc>
      </w:tr>
      <w:tr>
        <w:tc>
          <w:tcPr/>
          <w:p>
            <w:pPr>
              <w:pStyle w:val="Compact"/>
              <w:jc w:val="left"/>
            </w:pPr>
            <w:r>
              <w:t xml:space="preserve">Project Reference:</w:t>
            </w:r>
          </w:p>
        </w:tc>
        <w:tc>
          <w:tcPr/>
          <w:p>
            <w:pPr>
              <w:pStyle w:val="Compact"/>
              <w:jc w:val="left"/>
            </w:pPr>
            <w:r>
              <w:t xml:space="preserve">West Siberian Basin Optimization</w:t>
            </w:r>
          </w:p>
        </w:tc>
      </w:tr>
      <w:tr>
        <w:tc>
          <w:tcPr/>
          <w:p>
            <w:pPr>
              <w:pStyle w:val="Compact"/>
              <w:jc w:val="left"/>
            </w:pPr>
            <w:r>
              <w:t xml:space="preserve">Currency:</w:t>
            </w:r>
          </w:p>
        </w:tc>
        <w:tc>
          <w:tcPr/>
          <w:p>
            <w:pPr>
              <w:pStyle w:val="Compact"/>
              <w:jc w:val="left"/>
            </w:pPr>
            <w:r>
              <w:t xml:space="preserve">Russian Ruble (RUB)</w:t>
            </w:r>
          </w:p>
        </w:tc>
      </w:tr>
    </w:tbl>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Quantity</w:t>
            </w:r>
          </w:p>
        </w:tc>
        <w:tc>
          <w:tcPr/>
          <w:p>
            <w:pPr>
              <w:pStyle w:val="Compact"/>
              <w:jc w:val="left"/>
            </w:pPr>
            <w:r>
              <w:t xml:space="preserve">Unit Price (RUB)</w:t>
            </w:r>
          </w:p>
        </w:tc>
        <w:tc>
          <w:tcPr/>
          <w:p>
            <w:pPr>
              <w:pStyle w:val="Compact"/>
              <w:jc w:val="left"/>
            </w:pPr>
            <w:r>
              <w:t xml:space="preserve">Total (RUB)</w:t>
            </w:r>
          </w:p>
        </w:tc>
      </w:tr>
      <w:tr>
        <w:tc>
          <w:tcPr/>
          <w:p>
            <w:pPr>
              <w:pStyle w:val="Compact"/>
              <w:jc w:val="left"/>
            </w:pPr>
            <w:r>
              <w:t xml:space="preserve">1</w:t>
            </w:r>
          </w:p>
        </w:tc>
        <w:tc>
          <w:tcPr/>
          <w:p>
            <w:pPr>
              <w:pStyle w:val="Compact"/>
              <w:jc w:val="left"/>
            </w:pPr>
            <w:r>
              <w:rPr>
                <w:bCs/>
                <w:b/>
              </w:rPr>
              <w:t xml:space="preserve">Reservoir Characterization and Simulation Analysis</w:t>
            </w:r>
            <w:r>
              <w:br/>
            </w:r>
            <w:r>
              <w:t xml:space="preserve">Comprehensive evaluation of subsurface reservoir properties in the West Siberian Basin. This service includes seismic data interpretation, petrophysical analysis, and dynamic reservoir modeling to optimize extraction strategies. Conducted by senior petroleum engineers specializing in heavy oil recovery techniques applicable to Russian geological formations.</w:t>
            </w:r>
          </w:p>
        </w:tc>
        <w:tc>
          <w:tcPr/>
          <w:p>
            <w:pPr>
              <w:pStyle w:val="Compact"/>
              <w:jc w:val="left"/>
            </w:pPr>
            <w:r>
              <w:t xml:space="preserve">1</w:t>
            </w:r>
          </w:p>
        </w:tc>
        <w:tc>
          <w:tcPr/>
          <w:p>
            <w:pPr>
              <w:pStyle w:val="Compact"/>
              <w:jc w:val="left"/>
            </w:pPr>
            <w:r>
              <w:t xml:space="preserve">1,250,000.00</w:t>
            </w:r>
          </w:p>
        </w:tc>
        <w:tc>
          <w:tcPr/>
          <w:p>
            <w:pPr>
              <w:pStyle w:val="Compact"/>
              <w:jc w:val="left"/>
            </w:pPr>
            <w:r>
              <w:t xml:space="preserve">1,250,000.00</w:t>
            </w:r>
          </w:p>
        </w:tc>
      </w:tr>
      <w:tr>
        <w:tc>
          <w:tcPr/>
          <w:p>
            <w:pPr>
              <w:pStyle w:val="Compact"/>
              <w:jc w:val="left"/>
            </w:pPr>
            <w:r>
              <w:t xml:space="preserve">2</w:t>
            </w:r>
          </w:p>
        </w:tc>
        <w:tc>
          <w:tcPr/>
          <w:p>
            <w:pPr>
              <w:pStyle w:val="Compact"/>
              <w:jc w:val="left"/>
            </w:pPr>
            <w:r>
              <w:rPr>
                <w:bCs/>
                <w:b/>
              </w:rPr>
              <w:t xml:space="preserve">Well Completion Design and Optimization</w:t>
            </w:r>
            <w:r>
              <w:br/>
            </w:r>
            <w:r>
              <w:t xml:space="preserve">Detailed engineering design for horizontal well completions including perforation strategies, casing design, and stimulation programs. Analysis tailored to high-pressure, high-temperature (HPHT) conditions typical of deep Russian oil fields. Includes technical documentation compliant with GOST standards.</w:t>
            </w:r>
          </w:p>
        </w:tc>
        <w:tc>
          <w:tcPr/>
          <w:p>
            <w:pPr>
              <w:pStyle w:val="Compact"/>
              <w:jc w:val="left"/>
            </w:pPr>
            <w:r>
              <w:t xml:space="preserve">3</w:t>
            </w:r>
          </w:p>
        </w:tc>
        <w:tc>
          <w:tcPr/>
          <w:p>
            <w:pPr>
              <w:pStyle w:val="Compact"/>
              <w:jc w:val="left"/>
            </w:pPr>
            <w:r>
              <w:t xml:space="preserve">450,000.00</w:t>
            </w:r>
          </w:p>
        </w:tc>
        <w:tc>
          <w:tcPr/>
          <w:p>
            <w:pPr>
              <w:pStyle w:val="Compact"/>
              <w:jc w:val="left"/>
            </w:pPr>
            <w:r>
              <w:t xml:space="preserve">1,350,000.00</w:t>
            </w:r>
          </w:p>
        </w:tc>
      </w:tr>
      <w:tr>
        <w:tc>
          <w:tcPr/>
          <w:p>
            <w:pPr>
              <w:pStyle w:val="Compact"/>
              <w:jc w:val="left"/>
            </w:pPr>
            <w:r>
              <w:t xml:space="preserve">3</w:t>
            </w:r>
          </w:p>
        </w:tc>
        <w:tc>
          <w:tcPr/>
          <w:p>
            <w:pPr>
              <w:pStyle w:val="Compact"/>
              <w:jc w:val="left"/>
            </w:pPr>
            <w:r>
              <w:rPr>
                <w:bCs/>
                <w:b/>
              </w:rPr>
              <w:t xml:space="preserve">Production Enhancement Strategy Development</w:t>
            </w:r>
            <w:r>
              <w:br/>
            </w:r>
            <w:r>
              <w:t xml:space="preserve">Development of enhanced oil recovery (EOR) methodologies including thermal recovery and chemical flooding techniques. Field-specific recommendations for improving recovery factors in mature Russian oil fields. Includes feasibility studies and economic analysis of proposed interventions.</w:t>
            </w:r>
          </w:p>
        </w:tc>
        <w:tc>
          <w:tcPr/>
          <w:p>
            <w:pPr>
              <w:pStyle w:val="Compact"/>
              <w:jc w:val="left"/>
            </w:pPr>
            <w:r>
              <w:t xml:space="preserve">1</w:t>
            </w:r>
          </w:p>
        </w:tc>
        <w:tc>
          <w:tcPr/>
          <w:p>
            <w:pPr>
              <w:pStyle w:val="Compact"/>
              <w:jc w:val="left"/>
            </w:pPr>
            <w:r>
              <w:t xml:space="preserve">890,000.00</w:t>
            </w:r>
          </w:p>
        </w:tc>
        <w:tc>
          <w:tcPr/>
          <w:p>
            <w:pPr>
              <w:pStyle w:val="Compact"/>
              <w:jc w:val="left"/>
            </w:pPr>
            <w:r>
              <w:t xml:space="preserve">890,000.00</w:t>
            </w:r>
          </w:p>
        </w:tc>
      </w:tr>
      <w:tr>
        <w:tc>
          <w:tcPr/>
          <w:p>
            <w:pPr>
              <w:pStyle w:val="Compact"/>
              <w:jc w:val="left"/>
            </w:pPr>
            <w:r>
              <w:t xml:space="preserve">4</w:t>
            </w:r>
          </w:p>
        </w:tc>
        <w:tc>
          <w:tcPr/>
          <w:p>
            <w:pPr>
              <w:pStyle w:val="Compact"/>
              <w:jc w:val="left"/>
            </w:pPr>
            <w:r>
              <w:rPr>
                <w:bCs/>
                <w:b/>
              </w:rPr>
              <w:t xml:space="preserve">Drilling Engineering Consultation</w:t>
            </w:r>
            <w:r>
              <w:br/>
            </w:r>
            <w:r>
              <w:t xml:space="preserve">Expert consultation on drilling operations optimization including mud program design, wellbore stability analysis, and directional drilling planning. Services provided by certified petroleum engineers with extensive experience in Arctic and sub-Arctic drilling conditions in Russia.</w:t>
            </w:r>
          </w:p>
        </w:tc>
        <w:tc>
          <w:tcPr/>
          <w:p>
            <w:pPr>
              <w:pStyle w:val="Compact"/>
              <w:jc w:val="left"/>
            </w:pPr>
            <w:r>
              <w:t xml:space="preserve">40</w:t>
            </w:r>
          </w:p>
        </w:tc>
        <w:tc>
          <w:tcPr/>
          <w:p>
            <w:pPr>
              <w:pStyle w:val="Compact"/>
              <w:jc w:val="left"/>
            </w:pPr>
            <w:r>
              <w:t xml:space="preserve">15,000.00</w:t>
            </w:r>
          </w:p>
        </w:tc>
        <w:tc>
          <w:tcPr/>
          <w:p>
            <w:pPr>
              <w:pStyle w:val="Compact"/>
              <w:jc w:val="left"/>
            </w:pPr>
            <w:r>
              <w:t xml:space="preserve">600,000.00</w:t>
            </w:r>
          </w:p>
        </w:tc>
      </w:tr>
      <w:tr>
        <w:tc>
          <w:tcPr/>
          <w:p>
            <w:pPr>
              <w:pStyle w:val="Compact"/>
              <w:jc w:val="left"/>
            </w:pPr>
            <w:r>
              <w:t xml:space="preserve">5</w:t>
            </w:r>
          </w:p>
        </w:tc>
        <w:tc>
          <w:tcPr/>
          <w:p>
            <w:pPr>
              <w:pStyle w:val="Compact"/>
              <w:jc w:val="left"/>
            </w:pPr>
            <w:r>
              <w:rPr>
                <w:bCs/>
                <w:b/>
              </w:rPr>
              <w:t xml:space="preserve">Technical Reporting and Documentation</w:t>
            </w:r>
            <w:r>
              <w:br/>
            </w:r>
            <w:r>
              <w:t xml:space="preserve">Preparation of comprehensive technical reports in accordance with Russian regulatory requirements. Includes reservoir performance analysis, production forecasts, and engineering recommendations. All documentation prepared in both Russian and English for international stakeholder review.</w:t>
            </w:r>
          </w:p>
        </w:tc>
        <w:tc>
          <w:tcPr/>
          <w:p>
            <w:pPr>
              <w:pStyle w:val="Compact"/>
              <w:jc w:val="left"/>
            </w:pPr>
            <w:r>
              <w:t xml:space="preserve">1</w:t>
            </w:r>
          </w:p>
        </w:tc>
        <w:tc>
          <w:tcPr/>
          <w:p>
            <w:pPr>
              <w:pStyle w:val="Compact"/>
              <w:jc w:val="left"/>
            </w:pPr>
            <w:r>
              <w:t xml:space="preserve">320,000.00</w:t>
            </w:r>
          </w:p>
        </w:tc>
        <w:tc>
          <w:tcPr/>
          <w:p>
            <w:pPr>
              <w:pStyle w:val="Compact"/>
              <w:jc w:val="left"/>
            </w:pPr>
            <w:r>
              <w:t xml:space="preserve">320,000.00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4,410,000.00 RUB</w:t>
            </w:r>
          </w:p>
        </w:tc>
      </w:tr>
      <w:tr>
        <w:tc>
          <w:tcPr/>
          <w:p>
            <w:pPr>
              <w:pStyle w:val="Compact"/>
              <w:jc w:val="left"/>
            </w:pPr>
            <w:r>
              <w:t xml:space="preserve">VAT (20%):</w:t>
            </w:r>
          </w:p>
        </w:tc>
        <w:tc>
          <w:tcPr/>
          <w:p>
            <w:pPr>
              <w:pStyle w:val="Compact"/>
              <w:jc w:val="left"/>
            </w:pPr>
            <w:r>
              <w:t xml:space="preserve">882,000.00 RUB</w:t>
            </w:r>
          </w:p>
        </w:tc>
      </w:tr>
      <w:tr>
        <w:tc>
          <w:tcPr/>
          <w:p>
            <w:pPr>
              <w:pStyle w:val="Compact"/>
              <w:jc w:val="left"/>
            </w:pPr>
            <w:r>
              <w:t xml:space="preserve">Grand Total:</w:t>
            </w:r>
          </w:p>
        </w:tc>
        <w:tc>
          <w:tcPr/>
          <w:p>
            <w:pPr>
              <w:pStyle w:val="Compact"/>
              <w:jc w:val="left"/>
            </w:pPr>
            <w:r>
              <w:t xml:space="preserve">5,292,000.00 RUB</w:t>
            </w:r>
          </w:p>
        </w:tc>
      </w:tr>
    </w:tbl>
    <w:bookmarkStart w:id="22" w:name="payment-information"/>
    <w:p>
      <w:pPr>
        <w:pStyle w:val="Heading4"/>
      </w:pPr>
      <w:r>
        <w:t xml:space="preserve">Payment Information</w:t>
      </w:r>
    </w:p>
    <w:p>
      <w:pPr>
        <w:pStyle w:val="FirstParagraph"/>
      </w:pPr>
      <w:r>
        <w:rPr>
          <w:bCs/>
          <w:b/>
        </w:rPr>
        <w:t xml:space="preserve">Bank Name:</w:t>
      </w:r>
      <w:r>
        <w:t xml:space="preserve"> </w:t>
      </w:r>
      <w:r>
        <w:t xml:space="preserve">Sberbank of Russia</w:t>
      </w:r>
    </w:p>
    <w:p>
      <w:pPr>
        <w:pStyle w:val="BodyText"/>
      </w:pPr>
      <w:r>
        <w:rPr>
          <w:bCs/>
          <w:b/>
        </w:rPr>
        <w:t xml:space="preserve">Account Name:</w:t>
      </w:r>
      <w:r>
        <w:t xml:space="preserve"> </w:t>
      </w:r>
      <w:r>
        <w:t xml:space="preserve">Arctic Energy Solutions LLC</w:t>
      </w:r>
    </w:p>
    <w:p>
      <w:pPr>
        <w:pStyle w:val="BodyText"/>
      </w:pPr>
      <w:r>
        <w:rPr>
          <w:bCs/>
          <w:b/>
        </w:rPr>
        <w:t xml:space="preserve">Account Number:</w:t>
      </w:r>
      <w:r>
        <w:t xml:space="preserve"> </w:t>
      </w:r>
      <w:r>
        <w:t xml:space="preserve">40702810938000123456</w:t>
      </w:r>
    </w:p>
    <w:p>
      <w:pPr>
        <w:pStyle w:val="BodyText"/>
      </w:pPr>
      <w:r>
        <w:rPr>
          <w:bCs/>
          <w:b/>
        </w:rPr>
        <w:t xml:space="preserve">BIC/SWIFT:</w:t>
      </w:r>
      <w:r>
        <w:t xml:space="preserve"> </w:t>
      </w:r>
      <w:r>
        <w:t xml:space="preserve">SABRRUMM</w:t>
      </w:r>
    </w:p>
    <w:p>
      <w:pPr>
        <w:pStyle w:val="BodyText"/>
      </w:pPr>
      <w:r>
        <w:rPr>
          <w:bCs/>
          <w:b/>
        </w:rPr>
        <w:t xml:space="preserve">Correspondent Account:</w:t>
      </w:r>
      <w:r>
        <w:t xml:space="preserve"> </w:t>
      </w:r>
      <w:r>
        <w:t xml:space="preserve">30101810400000000225</w:t>
      </w:r>
    </w:p>
    <w:p>
      <w:pPr>
        <w:pStyle w:val="BodyText"/>
      </w:pPr>
      <w:r>
        <w:rPr>
          <w:bCs/>
          <w:b/>
        </w:rPr>
        <w:t xml:space="preserve">Payment Reference:</w:t>
      </w:r>
      <w:r>
        <w:t xml:space="preserve"> </w:t>
      </w:r>
      <w:r>
        <w:t xml:space="preserve">INV-2024-PE-0892</w:t>
      </w:r>
    </w:p>
    <w:p>
      <w:pPr>
        <w:pStyle w:val="BodyText"/>
      </w:pPr>
      <w:r>
        <w:t xml:space="preserve">Please include the invoice number in your payment reference to ensure proper allocation of funds.</w:t>
      </w:r>
    </w:p>
    <w:bookmarkEnd w:id="22"/>
    <w:bookmarkStart w:id="23" w:name="terms-and-conditions"/>
    <w:p>
      <w:pPr>
        <w:pStyle w:val="Heading3"/>
      </w:pPr>
      <w:r>
        <w:t xml:space="preserve">Terms and Conditions</w:t>
      </w:r>
    </w:p>
    <w:p>
      <w:pPr>
        <w:pStyle w:val="FirstParagraph"/>
      </w:pPr>
      <w:r>
        <w:t xml:space="preserve">1. Payment is due within 30 days from the date of invoice issuance. Late payments may incur a penalty of 0.1% per day on the outstanding amount.</w:t>
      </w:r>
    </w:p>
    <w:p>
      <w:pPr>
        <w:pStyle w:val="BodyText"/>
      </w:pPr>
      <w:r>
        <w:t xml:space="preserve">2. All services rendered are subject to the professional standards of petroleum engineering practice as recognized in Russia and internationally.</w:t>
      </w:r>
    </w:p>
    <w:p>
      <w:pPr>
        <w:pStyle w:val="BodyText"/>
      </w:pPr>
      <w:r>
        <w:t xml:space="preserve">3. This invoice represents professional consulting services provided by qualified petroleum engineers specializing in exploration, development, and production optimization.</w:t>
      </w:r>
    </w:p>
    <w:p>
      <w:pPr>
        <w:pStyle w:val="BodyText"/>
      </w:pPr>
      <w:r>
        <w:t xml:space="preserve">4. All technical data and reports provided remain the intellectual property of Arctic Energy Solutions LLC unless otherwise specified in the service agreement.</w:t>
      </w:r>
    </w:p>
    <w:p>
      <w:pPr>
        <w:pStyle w:val="BodyText"/>
      </w:pPr>
      <w:r>
        <w:t xml:space="preserve">5. Services were performed in accordance with the contract dated September 1, 2024, between Arctic Energy Solutions LLC and Gazprom Neft Exploration Division.</w:t>
      </w:r>
    </w:p>
    <w:p>
      <w:pPr>
        <w:pStyle w:val="BodyText"/>
      </w:pPr>
      <w:r>
        <w:t xml:space="preserve">6. Any disputes arising from this invoice shall be resolved in accordance with the laws of the Russian Federation, with jurisdiction in Moscow.</w:t>
      </w:r>
    </w:p>
    <w:p>
      <w:pPr>
        <w:pStyle w:val="BodyText"/>
      </w:pPr>
      <w:r>
        <w:t xml:space="preserve">7. This document serves as an official invoice for tax and accounting purposes in compliance with Russian Federal Tax Service requirements.</w:t>
      </w:r>
    </w:p>
    <w:p>
      <w:pPr>
        <w:pStyle w:val="BodyText"/>
      </w:pPr>
      <w:r>
        <w:t xml:space="preserve">8. For questions regarding this invoice, please contact our billing department at billing@arcticenergysolutions.ru or call +7 (495) 123-45-67.</w:t>
      </w:r>
    </w:p>
    <w:bookmarkEnd w:id="23"/>
    <w:p>
      <w:pPr>
        <w:pStyle w:val="BodyText"/>
      </w:pPr>
      <w:r>
        <w:rPr>
          <w:bCs/>
          <w:b/>
        </w:rPr>
        <w:t xml:space="preserve">Authorized Signature:</w:t>
      </w:r>
    </w:p>
    <w:p>
      <w:pPr>
        <w:pStyle w:val="BodyText"/>
      </w:pPr>
      <w:r>
        <w:t xml:space="preserve">Alexei Petrov</w:t>
      </w:r>
    </w:p>
    <w:p>
      <w:pPr>
        <w:pStyle w:val="BodyText"/>
      </w:pPr>
      <w:r>
        <w:t xml:space="preserve">Chief Financial Officer</w:t>
      </w:r>
    </w:p>
    <w:p>
      <w:pPr>
        <w:pStyle w:val="BodyText"/>
      </w:pPr>
      <w:r>
        <w:t xml:space="preserve">Arctic Energy Solutions LLC</w:t>
      </w:r>
    </w:p>
    <w:p>
      <w:pPr>
        <w:pStyle w:val="BodyText"/>
      </w:pPr>
      <w:r>
        <w:rPr>
          <w:bCs/>
          <w:b/>
        </w:rPr>
        <w:t xml:space="preserve">Received By:</w:t>
      </w:r>
    </w:p>
    <w:p>
      <w:pPr>
        <w:pStyle w:val="BodyText"/>
      </w:pPr>
      <w:r>
        <w:t xml:space="preserve">_________________________</w:t>
      </w:r>
    </w:p>
    <w:p>
      <w:pPr>
        <w:pStyle w:val="BodyText"/>
      </w:pPr>
      <w:r>
        <w:t xml:space="preserve">Name and Title</w:t>
      </w:r>
    </w:p>
    <w:p>
      <w:pPr>
        <w:pStyle w:val="BodyText"/>
      </w:pPr>
      <w:r>
        <w:t xml:space="preserve">Date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Petroleum Engineering Services</dc:title>
  <dc:creator/>
  <dc:language>en</dc:language>
  <cp:keywords/>
  <dcterms:created xsi:type="dcterms:W3CDTF">2026-10-10T01:20:04Z</dcterms:created>
  <dcterms:modified xsi:type="dcterms:W3CDTF">2026-10-10T01:20:04Z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