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Petroleum</w:t>
      </w:r>
      <w:r>
        <w:t xml:space="preserve"> </w:t>
      </w:r>
      <w:r>
        <w:t xml:space="preserve">Engineering</w:t>
      </w:r>
    </w:p>
    <w:bookmarkStart w:id="20" w:name="baltic-subsurface-solutions-ltd."/>
    <w:p>
      <w:pPr>
        <w:pStyle w:val="Heading1"/>
      </w:pPr>
      <w:r>
        <w:t xml:space="preserve">Baltic Subsurface Solutions Ltd.</w:t>
      </w:r>
    </w:p>
    <w:p>
      <w:pPr>
        <w:pStyle w:val="FirstParagraph"/>
      </w:pPr>
      <w:r>
        <w:t xml:space="preserve">19th Line, Vasilievsky Island, House 42, Office 305</w:t>
      </w:r>
    </w:p>
    <w:p>
      <w:pPr>
        <w:pStyle w:val="BodyText"/>
      </w:pPr>
      <w:r>
        <w:t xml:space="preserve">Saint Petersburg, Russia, 199106</w:t>
      </w:r>
    </w:p>
    <w:p>
      <w:pPr>
        <w:pStyle w:val="BodyText"/>
      </w:pPr>
      <w:r>
        <w:t xml:space="preserve">Tax ID (INN): 7805123456</w:t>
      </w:r>
    </w:p>
    <w:p>
      <w:pPr>
        <w:pStyle w:val="BodyText"/>
      </w:pPr>
      <w:r>
        <w:t xml:space="preserve">Registration Number (KPP): 780501001</w:t>
      </w:r>
    </w:p>
    <w:p>
      <w:pPr>
        <w:pStyle w:val="BodyText"/>
      </w:pPr>
      <w:r>
        <w:t xml:space="preserve">Email: billing@balticsubsurface.ru</w:t>
      </w:r>
    </w:p>
    <w:p>
      <w:pPr>
        <w:pStyle w:val="BodyText"/>
      </w:pPr>
      <w:r>
        <w:t xml:space="preserve">Phone: +7 (812) 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INV-RU-2023-0892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SPB-RES-2023-Q4</w:t>
      </w:r>
    </w:p>
    <w:bookmarkEnd w:id="21"/>
    <w:bookmarkStart w:id="22" w:name="bill-to"/>
    <w:p>
      <w:pPr>
        <w:pStyle w:val="Heading3"/>
      </w:pPr>
      <w:r>
        <w:t xml:space="preserve">Bill To:</w:t>
      </w:r>
    </w:p>
    <w:p>
      <w:pPr>
        <w:pStyle w:val="FirstParagraph"/>
      </w:pPr>
      <w:r>
        <w:rPr>
          <w:bCs/>
          <w:b/>
        </w:rPr>
        <w:t xml:space="preserve">North-West Energy Development JSC</w:t>
      </w:r>
    </w:p>
    <w:p>
      <w:pPr>
        <w:pStyle w:val="BodyText"/>
      </w:pPr>
      <w:r>
        <w:t xml:space="preserve">Attn: Chief Financial Officer</w:t>
      </w:r>
    </w:p>
    <w:p>
      <w:pPr>
        <w:pStyle w:val="BodyText"/>
      </w:pPr>
      <w:r>
        <w:t xml:space="preserve">Moika Embankment, 60, Saint Petersburg, Russia, 191025</w:t>
      </w:r>
    </w:p>
    <w:p>
      <w:pPr>
        <w:pStyle w:val="BodyText"/>
      </w:pPr>
      <w:r>
        <w:t xml:space="preserve">Tax ID (INN): 7801987654</w:t>
      </w:r>
    </w:p>
    <w:p>
      <w:pPr>
        <w:pStyle w:val="BodyText"/>
      </w:pPr>
      <w:r>
        <w:t xml:space="preserve">Registration Number (KPP): 780101001</w:t>
      </w:r>
    </w:p>
    <w:bookmarkEnd w:id="22"/>
    <w:bookmarkStart w:id="23" w:name="professional-services-rendered"/>
    <w:p>
      <w:pPr>
        <w:pStyle w:val="Heading3"/>
      </w:pPr>
      <w:r>
        <w:t xml:space="preserve">Professional Services Rendered</w:t>
      </w:r>
    </w:p>
    <w:p>
      <w:pPr>
        <w:pStyle w:val="FirstParagraph"/>
      </w:pPr>
      <w:r>
        <w:t xml:space="preserve">The following charges relate to specialized Petroleum Engineering consultancy services provided within the jurisdiction of Russia, specifically focusing on reservoir optimization and well integrity analysis for assets located in the Saint Petersburg region and adjacent offshore sectors.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rPr>
                <w:bCs/>
                <w:b/>
              </w:rPr>
              <w:t xml:space="preserve">Reservoir Simulation &amp; Modeling:</w:t>
            </w:r>
            <w:r>
              <w:t xml:space="preserve"> </w:t>
            </w:r>
            <w:r>
              <w:t xml:space="preserve">Comprehensive analysis of hydrocarbon reservoir dynamics using advanced numerical simulation software. This service includes the calibration of static models against dynamic production data to forecast future performance of the field.</w:t>
            </w:r>
          </w:p>
        </w:tc>
        <w:tc>
          <w:tcPr/>
          <w:p>
            <w:pPr>
              <w:pStyle w:val="Compact"/>
              <w:jc w:val="left"/>
            </w:pPr>
            <w:r>
              <w:t xml:space="preserve">40.0</w:t>
            </w:r>
          </w:p>
        </w:tc>
        <w:tc>
          <w:tcPr/>
          <w:p>
            <w:pPr>
              <w:pStyle w:val="Compact"/>
              <w:jc w:val="left"/>
            </w:pPr>
            <w:r>
              <w:t xml:space="preserve">12,500.00</w:t>
            </w:r>
          </w:p>
        </w:tc>
        <w:tc>
          <w:tcPr/>
          <w:p>
            <w:pPr>
              <w:pStyle w:val="Compact"/>
              <w:jc w:val="left"/>
            </w:pPr>
            <w:r>
              <w:t xml:space="preserve">500,000.00</w:t>
            </w:r>
          </w:p>
        </w:tc>
      </w:tr>
      <w:tr>
        <w:tc>
          <w:tcPr/>
          <w:p>
            <w:pPr>
              <w:pStyle w:val="Compact"/>
              <w:jc w:val="left"/>
            </w:pPr>
            <w:r>
              <w:t xml:space="preserve">2</w:t>
            </w:r>
          </w:p>
        </w:tc>
        <w:tc>
          <w:tcPr/>
          <w:p>
            <w:pPr>
              <w:pStyle w:val="Compact"/>
              <w:jc w:val="left"/>
            </w:pPr>
            <w:r>
              <w:rPr>
                <w:bCs/>
                <w:b/>
              </w:rPr>
              <w:t xml:space="preserve">Well Completion Design Review:</w:t>
            </w:r>
            <w:r>
              <w:t xml:space="preserve"> </w:t>
            </w:r>
            <w:r>
              <w:t xml:space="preserve">Technical audit of proposed well completion strategies for deep-water exploration sites. The Petroleum Engineer evaluated casing strings, cementing programs, and packer selection to ensure compliance with Russian GOST standards and international safety protocols.</w:t>
            </w:r>
          </w:p>
        </w:tc>
        <w:tc>
          <w:tcPr/>
          <w:p>
            <w:pPr>
              <w:pStyle w:val="Compact"/>
              <w:jc w:val="left"/>
            </w:pPr>
            <w:r>
              <w:t xml:space="preserve">25.0</w:t>
            </w:r>
          </w:p>
        </w:tc>
        <w:tc>
          <w:tcPr/>
          <w:p>
            <w:pPr>
              <w:pStyle w:val="Compact"/>
              <w:jc w:val="left"/>
            </w:pPr>
            <w:r>
              <w:t xml:space="preserve">12,500.00</w:t>
            </w:r>
          </w:p>
        </w:tc>
        <w:tc>
          <w:tcPr/>
          <w:p>
            <w:pPr>
              <w:pStyle w:val="Compact"/>
              <w:jc w:val="left"/>
            </w:pPr>
            <w:r>
              <w:t xml:space="preserve">312,500.00</w:t>
            </w:r>
          </w:p>
        </w:tc>
      </w:tr>
      <w:tr>
        <w:tc>
          <w:tcPr/>
          <w:p>
            <w:pPr>
              <w:pStyle w:val="Compact"/>
              <w:jc w:val="left"/>
            </w:pPr>
            <w:r>
              <w:t xml:space="preserve">3</w:t>
            </w:r>
          </w:p>
        </w:tc>
        <w:tc>
          <w:tcPr/>
          <w:p>
            <w:pPr>
              <w:pStyle w:val="Compact"/>
              <w:jc w:val="left"/>
            </w:pPr>
            <w:r>
              <w:rPr>
                <w:bCs/>
                <w:b/>
              </w:rPr>
              <w:t xml:space="preserve">Production Optimization Strategy:</w:t>
            </w:r>
            <w:r>
              <w:t xml:space="preserve"> </w:t>
            </w:r>
            <w:r>
              <w:t xml:space="preserve">Development of a strategic roadmap to enhance oil recovery (EOR) techniques. This includes the analysis of water injection patterns and gas lift optimization to maximize yield from mature wells in the Baltic basin.</w:t>
            </w:r>
          </w:p>
        </w:tc>
        <w:tc>
          <w:tcPr/>
          <w:p>
            <w:pPr>
              <w:pStyle w:val="Compact"/>
              <w:jc w:val="left"/>
            </w:pPr>
            <w:r>
              <w:t xml:space="preserve">30.0</w:t>
            </w:r>
          </w:p>
        </w:tc>
        <w:tc>
          <w:tcPr/>
          <w:p>
            <w:pPr>
              <w:pStyle w:val="Compact"/>
              <w:jc w:val="left"/>
            </w:pPr>
            <w:r>
              <w:t xml:space="preserve">12,500.00</w:t>
            </w:r>
          </w:p>
        </w:tc>
        <w:tc>
          <w:tcPr/>
          <w:p>
            <w:pPr>
              <w:pStyle w:val="Compact"/>
              <w:jc w:val="left"/>
            </w:pPr>
            <w:r>
              <w:t xml:space="preserve">375,000.00</w:t>
            </w:r>
          </w:p>
        </w:tc>
      </w:tr>
      <w:tr>
        <w:tc>
          <w:tcPr/>
          <w:p>
            <w:pPr>
              <w:pStyle w:val="Compact"/>
              <w:jc w:val="left"/>
            </w:pPr>
            <w:r>
              <w:t xml:space="preserve">4</w:t>
            </w:r>
          </w:p>
        </w:tc>
        <w:tc>
          <w:tcPr/>
          <w:p>
            <w:pPr>
              <w:pStyle w:val="Compact"/>
              <w:jc w:val="left"/>
            </w:pPr>
            <w:r>
              <w:rPr>
                <w:bCs/>
                <w:b/>
              </w:rPr>
              <w:t xml:space="preserve">Drilling Fluids &amp; Hydraulics Analysis:</w:t>
            </w:r>
            <w:r>
              <w:t xml:space="preserve"> </w:t>
            </w:r>
            <w:r>
              <w:t xml:space="preserve">Consultation on drilling fluid rheology and hydraulic calculations to mitigate wellbore instability risks. Specific focus on high-pressure, high-temperature (HPHT) environments typical of the region's geological formations.</w:t>
            </w:r>
          </w:p>
        </w:tc>
        <w:tc>
          <w:tcPr/>
          <w:p>
            <w:pPr>
              <w:pStyle w:val="Compact"/>
              <w:jc w:val="left"/>
            </w:pPr>
            <w:r>
              <w:t xml:space="preserve">15.0</w:t>
            </w:r>
          </w:p>
        </w:tc>
        <w:tc>
          <w:tcPr/>
          <w:p>
            <w:pPr>
              <w:pStyle w:val="Compact"/>
              <w:jc w:val="left"/>
            </w:pPr>
            <w:r>
              <w:t xml:space="preserve">12,500.00</w:t>
            </w:r>
          </w:p>
        </w:tc>
        <w:tc>
          <w:tcPr/>
          <w:p>
            <w:pPr>
              <w:pStyle w:val="Compact"/>
              <w:jc w:val="left"/>
            </w:pPr>
            <w:r>
              <w:t xml:space="preserve">187,500.00</w:t>
            </w:r>
          </w:p>
        </w:tc>
      </w:tr>
      <w:tr>
        <w:tc>
          <w:tcPr/>
          <w:p>
            <w:pPr>
              <w:pStyle w:val="Compact"/>
              <w:jc w:val="left"/>
            </w:pPr>
            <w:r>
              <w:t xml:space="preserve">5</w:t>
            </w:r>
          </w:p>
        </w:tc>
        <w:tc>
          <w:tcPr/>
          <w:p>
            <w:pPr>
              <w:pStyle w:val="Compact"/>
              <w:jc w:val="left"/>
            </w:pPr>
            <w:r>
              <w:rPr>
                <w:bCs/>
                <w:b/>
              </w:rPr>
              <w:t xml:space="preserve">Technical Reporting &amp; Regulatory Compliance:</w:t>
            </w:r>
            <w:r>
              <w:t xml:space="preserve"> </w:t>
            </w:r>
            <w:r>
              <w:t xml:space="preserve">Preparation of detailed engineering reports for submission to local regulatory bodies in Saint Petersburg. Documentation ensures all petroleum engineering activities adhere to the Federal Law on Subsoil Use and environmental protection mandates.</w:t>
            </w:r>
          </w:p>
        </w:tc>
        <w:tc>
          <w:tcPr/>
          <w:p>
            <w:pPr>
              <w:pStyle w:val="Compact"/>
              <w:jc w:val="left"/>
            </w:pPr>
            <w:r>
              <w:t xml:space="preserve">20.0</w:t>
            </w:r>
          </w:p>
        </w:tc>
        <w:tc>
          <w:tcPr/>
          <w:p>
            <w:pPr>
              <w:pStyle w:val="Compact"/>
              <w:jc w:val="left"/>
            </w:pPr>
            <w:r>
              <w:t xml:space="preserve">12,500.00</w:t>
            </w:r>
          </w:p>
        </w:tc>
        <w:tc>
          <w:tcPr/>
          <w:p>
            <w:pPr>
              <w:pStyle w:val="Compact"/>
              <w:jc w:val="left"/>
            </w:pPr>
            <w:r>
              <w:t xml:space="preserve">250,000.00</w:t>
            </w:r>
          </w:p>
        </w:tc>
      </w:tr>
    </w:tbl>
    <w:bookmarkEnd w:id="23"/>
    <w:p>
      <w:pPr>
        <w:pStyle w:val="BodyText"/>
      </w:pPr>
      <w:r>
        <w:t xml:space="preserve">Subtotal:</w:t>
      </w:r>
      <w:r>
        <w:t xml:space="preserve"> </w:t>
      </w:r>
      <w:r>
        <w:t xml:space="preserve">1,625,000.00 RUB</w:t>
      </w:r>
    </w:p>
    <w:p>
      <w:pPr>
        <w:pStyle w:val="BodyText"/>
      </w:pPr>
      <w:r>
        <w:t xml:space="preserve">VAT (20%):</w:t>
      </w:r>
      <w:r>
        <w:t xml:space="preserve"> </w:t>
      </w:r>
      <w:r>
        <w:t xml:space="preserve">325,000.00 RUB</w:t>
      </w:r>
    </w:p>
    <w:p>
      <w:pPr>
        <w:pStyle w:val="BodyText"/>
      </w:pPr>
      <w:r>
        <w:t xml:space="preserve">Total Due:</w:t>
      </w:r>
      <w:r>
        <w:t xml:space="preserve"> </w:t>
      </w:r>
      <w:r>
        <w:t xml:space="preserve">1,950,000.00 RUB</w:t>
      </w:r>
    </w:p>
    <w:bookmarkStart w:id="24"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a penalty interest rate of 0.1% per day as per the Civil Code of the Russian Federation.</w:t>
      </w:r>
      <w:r>
        <w:br/>
      </w:r>
      <w:r>
        <w:t xml:space="preserve">2.</w:t>
      </w:r>
      <w:r>
        <w:t xml:space="preserve"> </w:t>
      </w:r>
      <w:r>
        <w:rPr>
          <w:bCs/>
          <w:b/>
        </w:rPr>
        <w:t xml:space="preserve">Currency:</w:t>
      </w:r>
      <w:r>
        <w:t xml:space="preserve"> </w:t>
      </w:r>
      <w:r>
        <w:t xml:space="preserve">All amounts are quoted in Russian Rubles (RUB).</w:t>
      </w:r>
      <w:r>
        <w:br/>
      </w:r>
      <w:r>
        <w:t xml:space="preserve">3.</w:t>
      </w:r>
      <w:r>
        <w:t xml:space="preserve"> </w:t>
      </w:r>
      <w:r>
        <w:rPr>
          <w:bCs/>
          <w:b/>
        </w:rPr>
        <w:t xml:space="preserve">Bank Details:</w:t>
      </w:r>
      <w:r>
        <w:t xml:space="preserve"> </w:t>
      </w:r>
      <w:r>
        <w:t xml:space="preserve">Please remit payment to the following account:</w:t>
      </w:r>
      <w:r>
        <w:br/>
      </w:r>
      <w:r>
        <w:t xml:space="preserve">    Bank Name: Sberbank of Russia, Saint Petersburg Branch</w:t>
      </w:r>
      <w:r>
        <w:br/>
      </w:r>
      <w:r>
        <w:t xml:space="preserve">    Account Number: 40702810938000012345</w:t>
      </w:r>
      <w:r>
        <w:br/>
      </w:r>
      <w:r>
        <w:t xml:space="preserve">    BIC: 044525225</w:t>
      </w:r>
      <w:r>
        <w:br/>
      </w:r>
      <w:r>
        <w:t xml:space="preserve">    Correspondent Account: 30101810400000000225</w:t>
      </w:r>
      <w:r>
        <w:br/>
      </w:r>
      <w:r>
        <w:t xml:space="preserve">4.</w:t>
      </w:r>
      <w:r>
        <w:t xml:space="preserve"> </w:t>
      </w:r>
      <w:r>
        <w:rPr>
          <w:bCs/>
          <w:b/>
        </w:rPr>
        <w:t xml:space="preserve">Scope of Work:</w:t>
      </w:r>
      <w:r>
        <w:t xml:space="preserve"> </w:t>
      </w:r>
      <w:r>
        <w:t xml:space="preserve">This invoice covers the professional expertise of a certified Petroleum Engineer. It does not include third-party software licensing fees or field equipment rental unless explicitly stated in the attached contract.</w:t>
      </w:r>
      <w:r>
        <w:br/>
      </w:r>
      <w:r>
        <w:t xml:space="preserve">5.</w:t>
      </w:r>
      <w:r>
        <w:t xml:space="preserve"> </w:t>
      </w:r>
      <w:r>
        <w:rPr>
          <w:bCs/>
          <w:b/>
        </w:rPr>
        <w:t xml:space="preserve">Confidentiality:</w:t>
      </w:r>
      <w:r>
        <w:t xml:space="preserve"> </w:t>
      </w:r>
      <w:r>
        <w:t xml:space="preserve">All data provided by the client regarding reservoir properties and production history in Saint Petersburg shall remain strictly confidential and shall not be disclosed to third parties without written consent.</w:t>
      </w:r>
      <w:r>
        <w:br/>
      </w:r>
      <w:r>
        <w:t xml:space="preserve">6.</w:t>
      </w:r>
      <w:r>
        <w:t xml:space="preserve"> </w:t>
      </w:r>
      <w:r>
        <w:rPr>
          <w:bCs/>
          <w:b/>
        </w:rPr>
        <w:t xml:space="preserve">Dispute Resolution:</w:t>
      </w:r>
      <w:r>
        <w:t xml:space="preserve"> </w:t>
      </w:r>
      <w:r>
        <w:t xml:space="preserve">Any disputes arising from this invoice or the services rendered shall be resolved through arbitration in Saint Petersburg, in accordance with the laws of the Russian Federation.</w:t>
      </w:r>
    </w:p>
    <w:bookmarkEnd w:id="24"/>
    <w:p>
      <w:pPr>
        <w:pStyle w:val="BodyText"/>
      </w:pPr>
      <w:r>
        <w:rPr>
          <w:bCs/>
          <w:b/>
        </w:rPr>
        <w:t xml:space="preserve">Authorized Signature:</w:t>
      </w:r>
    </w:p>
    <w:p>
      <w:pPr>
        <w:pStyle w:val="BodyText"/>
      </w:pPr>
      <w:r>
        <w:t xml:space="preserve">Alexei Volkov</w:t>
      </w:r>
    </w:p>
    <w:p>
      <w:pPr>
        <w:pStyle w:val="BodyText"/>
      </w:pPr>
      <w:r>
        <w:t xml:space="preserve">Senior Petroleum Engineer</w:t>
      </w:r>
    </w:p>
    <w:p>
      <w:pPr>
        <w:pStyle w:val="BodyText"/>
      </w:pPr>
      <w:r>
        <w:t xml:space="preserve">Baltic Subsurface Solutions Ltd.</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Petroleum Engineering</dc:title>
  <dc:creator/>
  <dc:language>en</dc:language>
  <cp:keywords/>
  <dcterms:created xsi:type="dcterms:W3CDTF">2026-10-10T03:51:33Z</dcterms:created>
  <dcterms:modified xsi:type="dcterms:W3CDTF">2026-10-10T03:51:33Z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