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l-riyadh-energy-solutions"/>
    <w:p>
      <w:pPr>
        <w:pStyle w:val="Heading1"/>
      </w:pPr>
      <w:r>
        <w:t xml:space="preserve">Al-Riyadh Energy Solutions</w:t>
      </w:r>
    </w:p>
    <w:p>
      <w:pPr>
        <w:pStyle w:val="FirstParagraph"/>
      </w:pPr>
      <w:r>
        <w:rPr>
          <w:bCs/>
          <w:b/>
        </w:rPr>
        <w:t xml:space="preserve">Specialized Petroleum Engineering Consultancy</w:t>
      </w:r>
    </w:p>
    <w:p>
      <w:pPr>
        <w:pStyle w:val="BodyText"/>
      </w:pPr>
      <w:r>
        <w:t xml:space="preserve">King Fahd Road, Olaya District</w:t>
      </w:r>
    </w:p>
    <w:p>
      <w:pPr>
        <w:pStyle w:val="BodyText"/>
      </w:pPr>
      <w:r>
        <w:t xml:space="preserve">Riyadh, 12214, Saudi Arabia</w:t>
      </w:r>
    </w:p>
    <w:p>
      <w:pPr>
        <w:pStyle w:val="BodyText"/>
      </w:pPr>
      <w:r>
        <w:t xml:space="preserve">VAT Registration: 300123456789003</w:t>
      </w:r>
    </w:p>
    <w:p>
      <w:pPr>
        <w:pStyle w:val="BodyText"/>
      </w:pPr>
      <w:r>
        <w:t xml:space="preserve">Email: billing@alriyadhenergy.com | Phone: +966 11 234 5678</w:t>
      </w:r>
    </w:p>
    <w:bookmarkEnd w:id="20"/>
    <w:bookmarkStart w:id="21" w:name="invoice"/>
    <w:p>
      <w:pPr>
        <w:pStyle w:val="Heading2"/>
      </w:pPr>
      <w:r>
        <w:t xml:space="preserve">INVOICE</w:t>
      </w:r>
    </w:p>
    <w:p>
      <w:pPr>
        <w:pStyle w:val="FirstParagraph"/>
      </w:pPr>
      <w:r>
        <w:rPr>
          <w:iCs/>
          <w:i/>
        </w:rPr>
        <w:t xml:space="preserve">Official Tax Invoice</w:t>
      </w:r>
    </w:p>
    <w:bookmarkEnd w:id="21"/>
    <w:bookmarkStart w:id="22" w:name="bill-to"/>
    <w:p>
      <w:pPr>
        <w:pStyle w:val="Heading3"/>
      </w:pPr>
      <w:r>
        <w:t xml:space="preserve">Bill To:</w:t>
      </w:r>
    </w:p>
    <w:p>
      <w:pPr>
        <w:pStyle w:val="FirstParagraph"/>
      </w:pPr>
      <w:r>
        <w:rPr>
          <w:bCs/>
          <w:b/>
        </w:rPr>
        <w:t xml:space="preserve">Saudi Aramco Upstream Operations</w:t>
      </w:r>
    </w:p>
    <w:p>
      <w:pPr>
        <w:pStyle w:val="BodyText"/>
      </w:pPr>
      <w:r>
        <w:t xml:space="preserve">Attn: Procurement Department</w:t>
      </w:r>
    </w:p>
    <w:p>
      <w:pPr>
        <w:pStyle w:val="BodyText"/>
      </w:pPr>
      <w:r>
        <w:t xml:space="preserve">PO Box 5000</w:t>
      </w:r>
    </w:p>
    <w:p>
      <w:pPr>
        <w:pStyle w:val="BodyText"/>
      </w:pPr>
      <w:r>
        <w:t xml:space="preserve">Dhahran, Eastern Province</w:t>
      </w:r>
    </w:p>
    <w:p>
      <w:pPr>
        <w:pStyle w:val="BodyText"/>
      </w:pPr>
      <w:r>
        <w:t xml:space="preserve">Saudi Arabia</w:t>
      </w:r>
    </w:p>
    <w:bookmarkEnd w:id="22"/>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RES-RIY-2023-09</w:t>
      </w:r>
    </w:p>
    <w:p>
      <w:pPr>
        <w:pStyle w:val="BodyText"/>
      </w:pPr>
      <w:r>
        <w:rPr>
          <w:bCs/>
          <w:b/>
        </w:rPr>
        <w:t xml:space="preserve">Payment Terms:</w:t>
      </w:r>
      <w:r>
        <w:t xml:space="preserve"> </w:t>
      </w:r>
      <w:r>
        <w:t xml:space="preserve">Net 30 Days</w:t>
      </w:r>
    </w:p>
    <w:bookmarkStart w:id="23" w:name="scope-of-services-description"/>
    <w:p>
      <w:pPr>
        <w:pStyle w:val="Heading3"/>
      </w:pPr>
      <w:r>
        <w:t xml:space="preserve">Scope of Services Description</w:t>
      </w:r>
    </w:p>
    <w:p>
      <w:pPr>
        <w:pStyle w:val="FirstParagraph"/>
      </w:pPr>
      <w:r>
        <w:t xml:space="preserve">This invoice pertains to the professional services rendered by a Senior Petroleum Engineer specializing in reservoir management and enhanced oil recovery (EOR). The services were conducted in accordance with the technical specifications outlined in the contract signed on September 1, 2023. The work focused on optimizing production rates for the client's assets located within the Kingdom of Saudi Arabia, with specific technical reporting and strategy meetings held at our headquarters in Riyadh.</w:t>
      </w:r>
    </w:p>
    <w:p>
      <w:pPr>
        <w:pStyle w:val="BodyText"/>
      </w:pPr>
      <w:r>
        <w:t xml:space="preserve">The Petroleum Engineer provided comprehensive analysis of reservoir data, including pressure transient analysis and fluid property evaluation. Furthermore, the engineer developed a strategic roadmap for water injection optimization to maintain reservoir pressure and maximize recovery factors. All deliverables comply with the regulations set forth by the Ministry of Energy in Saudi Arabia.</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rPr>
                <w:bCs/>
                <w:b/>
              </w:rPr>
              <w:t xml:space="preserve">Reservoir Simulation &amp; Modeling</w:t>
            </w:r>
            <w:r>
              <w:br/>
            </w:r>
            <w:r>
              <w:t xml:space="preserve">Development of 3D static and dynamic models for the target field. Analysis of geological data to predict future production performance.</w:t>
            </w:r>
          </w:p>
        </w:tc>
        <w:tc>
          <w:tcPr/>
          <w:p>
            <w:pPr>
              <w:pStyle w:val="Compact"/>
              <w:jc w:val="left"/>
            </w:pPr>
            <w:r>
              <w:t xml:space="preserve">120 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rPr>
                <w:bCs/>
                <w:b/>
              </w:rPr>
              <w:t xml:space="preserve">Well Performance Analysis</w:t>
            </w:r>
            <w:r>
              <w:br/>
            </w:r>
            <w:r>
              <w:t xml:space="preserve">Detailed evaluation of 15 producing wells. Identification of bottlenecks and recommendations for workover operations.</w:t>
            </w:r>
          </w:p>
        </w:tc>
        <w:tc>
          <w:tcPr/>
          <w:p>
            <w:pPr>
              <w:pStyle w:val="Compact"/>
              <w:jc w:val="left"/>
            </w:pPr>
            <w:r>
              <w:t xml:space="preserve">80 Hours</w:t>
            </w:r>
          </w:p>
        </w:tc>
        <w:tc>
          <w:tcPr/>
          <w:p>
            <w:pPr>
              <w:pStyle w:val="Compact"/>
              <w:jc w:val="left"/>
            </w:pPr>
            <w:r>
              <w:t xml:space="preserve">850.00</w:t>
            </w:r>
          </w:p>
        </w:tc>
        <w:tc>
          <w:tcPr/>
          <w:p>
            <w:pPr>
              <w:pStyle w:val="Compact"/>
              <w:jc w:val="left"/>
            </w:pPr>
            <w:r>
              <w:t xml:space="preserve">68,000.00</w:t>
            </w:r>
          </w:p>
        </w:tc>
      </w:tr>
      <w:tr>
        <w:tc>
          <w:tcPr/>
          <w:p>
            <w:pPr>
              <w:pStyle w:val="Compact"/>
              <w:jc w:val="left"/>
            </w:pPr>
            <w:r>
              <w:rPr>
                <w:bCs/>
                <w:b/>
              </w:rPr>
              <w:t xml:space="preserve">Enhanced Oil Recovery (EOR) Strategy</w:t>
            </w:r>
            <w:r>
              <w:br/>
            </w:r>
            <w:r>
              <w:t xml:space="preserve">Feasibility study for CO2 injection. Economic evaluation and technical design for pilot project implementation.</w:t>
            </w:r>
          </w:p>
        </w:tc>
        <w:tc>
          <w:tcPr/>
          <w:p>
            <w:pPr>
              <w:pStyle w:val="Compact"/>
              <w:jc w:val="left"/>
            </w:pPr>
            <w:r>
              <w:t xml:space="preserve">60 Hours</w:t>
            </w:r>
          </w:p>
        </w:tc>
        <w:tc>
          <w:tcPr/>
          <w:p>
            <w:pPr>
              <w:pStyle w:val="Compact"/>
              <w:jc w:val="left"/>
            </w:pPr>
            <w:r>
              <w:t xml:space="preserve">950.00</w:t>
            </w:r>
          </w:p>
        </w:tc>
        <w:tc>
          <w:tcPr/>
          <w:p>
            <w:pPr>
              <w:pStyle w:val="Compact"/>
              <w:jc w:val="left"/>
            </w:pPr>
            <w:r>
              <w:t xml:space="preserve">57,000.00</w:t>
            </w:r>
          </w:p>
        </w:tc>
      </w:tr>
      <w:tr>
        <w:tc>
          <w:tcPr/>
          <w:p>
            <w:pPr>
              <w:pStyle w:val="Compact"/>
              <w:jc w:val="left"/>
            </w:pPr>
            <w:r>
              <w:rPr>
                <w:bCs/>
                <w:b/>
              </w:rPr>
              <w:t xml:space="preserve">Technical Reporting &amp; Consultation</w:t>
            </w:r>
            <w:r>
              <w:br/>
            </w:r>
            <w:r>
              <w:t xml:space="preserve">Preparation of final engineering reports and presentation of findings to stakeholders in Riyadh.</w:t>
            </w:r>
          </w:p>
        </w:tc>
        <w:tc>
          <w:tcPr/>
          <w:p>
            <w:pPr>
              <w:pStyle w:val="Compact"/>
              <w:jc w:val="left"/>
            </w:pPr>
            <w:r>
              <w:t xml:space="preserve">40 Hours</w:t>
            </w:r>
          </w:p>
        </w:tc>
        <w:tc>
          <w:tcPr/>
          <w:p>
            <w:pPr>
              <w:pStyle w:val="Compact"/>
              <w:jc w:val="left"/>
            </w:pPr>
            <w:r>
              <w:t xml:space="preserve">750.00</w:t>
            </w:r>
          </w:p>
        </w:tc>
        <w:tc>
          <w:tcPr/>
          <w:p>
            <w:pPr>
              <w:pStyle w:val="Compact"/>
              <w:jc w:val="left"/>
            </w:pPr>
            <w:r>
              <w:t xml:space="preserve">30,000.00</w:t>
            </w:r>
          </w:p>
        </w:tc>
      </w:tr>
      <w:tr>
        <w:tc>
          <w:tcPr/>
          <w:p>
            <w:pPr>
              <w:pStyle w:val="Compact"/>
              <w:jc w:val="left"/>
            </w:pPr>
            <w:r>
              <w:rPr>
                <w:bCs/>
                <w:b/>
              </w:rPr>
              <w:t xml:space="preserve">Software Licensing Fees</w:t>
            </w:r>
            <w:r>
              <w:br/>
            </w:r>
            <w:r>
              <w:t xml:space="preserve">Short-term license for industry-standard reservoir simulation software used during the project.</w:t>
            </w:r>
          </w:p>
        </w:tc>
        <w:tc>
          <w:tcPr/>
          <w:p>
            <w:pPr>
              <w:pStyle w:val="Compact"/>
              <w:jc w:val="left"/>
            </w:pPr>
            <w:r>
              <w:t xml:space="preserve">1 Unit</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272,000.00 SAR</w:t>
      </w:r>
    </w:p>
    <w:p>
      <w:pPr>
        <w:pStyle w:val="BodyText"/>
      </w:pPr>
      <w:r>
        <w:t xml:space="preserve">VAT (15%):</w:t>
      </w:r>
      <w:r>
        <w:t xml:space="preserve"> </w:t>
      </w:r>
      <w:r>
        <w:t xml:space="preserve">40,800.00 SAR</w:t>
      </w:r>
    </w:p>
    <w:p>
      <w:pPr>
        <w:pStyle w:val="BodyText"/>
      </w:pPr>
      <w:r>
        <w:t xml:space="preserve">Total Due:</w:t>
      </w:r>
      <w:r>
        <w:t xml:space="preserve"> </w:t>
      </w:r>
      <w:r>
        <w:t xml:space="preserve">312,800.00 SAR</w:t>
      </w:r>
    </w:p>
    <w:bookmarkStart w:id="24" w:name="payment-instructions"/>
    <w:p>
      <w:pPr>
        <w:pStyle w:val="Heading4"/>
      </w:pPr>
      <w:r>
        <w:t xml:space="preserve">Payment Instructions</w:t>
      </w:r>
    </w:p>
    <w:p>
      <w:pPr>
        <w:pStyle w:val="FirstParagraph"/>
      </w:pPr>
      <w:r>
        <w:t xml:space="preserve">Please remit payment via bank transfer to the following account:</w:t>
      </w:r>
    </w:p>
    <w:p>
      <w:pPr>
        <w:pStyle w:val="BodyText"/>
      </w:pPr>
      <w:r>
        <w:rPr>
          <w:bCs/>
          <w:b/>
        </w:rPr>
        <w:t xml:space="preserve">Bank Name:</w:t>
      </w:r>
      <w:r>
        <w:t xml:space="preserve"> </w:t>
      </w:r>
      <w:r>
        <w:t xml:space="preserve">Al Rajhi Bank</w:t>
      </w:r>
      <w:r>
        <w:br/>
      </w:r>
      <w:r>
        <w:rPr>
          <w:bCs/>
          <w:b/>
        </w:rPr>
        <w:t xml:space="preserve">Branch:</w:t>
      </w:r>
      <w:r>
        <w:t xml:space="preserve"> </w:t>
      </w:r>
      <w:r>
        <w:t xml:space="preserve">Riyadh - Olaya</w:t>
      </w:r>
      <w:r>
        <w:br/>
      </w:r>
      <w:r>
        <w:rPr>
          <w:bCs/>
          <w:b/>
        </w:rPr>
        <w:t xml:space="preserve">Account Name:</w:t>
      </w:r>
      <w:r>
        <w:t xml:space="preserve"> </w:t>
      </w:r>
      <w:r>
        <w:t xml:space="preserve">Al-Riyadh Energy Solutions Co.</w:t>
      </w:r>
      <w:r>
        <w:br/>
      </w:r>
      <w:r>
        <w:rPr>
          <w:bCs/>
          <w:b/>
        </w:rPr>
        <w:t xml:space="preserve">IBAN:</w:t>
      </w:r>
      <w:r>
        <w:t xml:space="preserve"> </w:t>
      </w:r>
      <w:r>
        <w:t xml:space="preserve">SA03 8000 0000 6080 1016 7519</w:t>
      </w:r>
      <w:r>
        <w:br/>
      </w:r>
      <w:r>
        <w:rPr>
          <w:bCs/>
          <w:b/>
        </w:rPr>
        <w:t xml:space="preserve">SWIFT Code:</w:t>
      </w:r>
      <w:r>
        <w:t xml:space="preserve"> </w:t>
      </w:r>
      <w:r>
        <w:t xml:space="preserve">NBSASARIXXX</w:t>
      </w:r>
    </w:p>
    <w:p>
      <w:pPr>
        <w:pStyle w:val="BodyText"/>
      </w:pPr>
      <w:r>
        <w:t xml:space="preserve">Please reference the Invoice Number (INV-2023-10-045) in the payment description to ensure proper allocation.</w:t>
      </w:r>
    </w:p>
    <w:bookmarkEnd w:id="24"/>
    <w:bookmarkStart w:id="25" w:name="terms-and-conditions"/>
    <w:p>
      <w:pPr>
        <w:pStyle w:val="Heading4"/>
      </w:pPr>
      <w:r>
        <w:t xml:space="preserve">Terms and Conditions</w:t>
      </w:r>
    </w:p>
    <w:p>
      <w:pPr>
        <w:numPr>
          <w:ilvl w:val="0"/>
          <w:numId w:val="1001"/>
        </w:numPr>
        <w:pStyle w:val="Compact"/>
      </w:pPr>
      <w:r>
        <w:t xml:space="preserve">All services provided are subject to the laws and regulations of the Kingdom of Saudi Arabia.</w:t>
      </w:r>
    </w:p>
    <w:p>
      <w:pPr>
        <w:numPr>
          <w:ilvl w:val="0"/>
          <w:numId w:val="1001"/>
        </w:numPr>
        <w:pStyle w:val="Compact"/>
      </w:pPr>
      <w:r>
        <w:t xml:space="preserve">Payment is due within 30 days of the invoice date. Late payments may incur a penalty interest rate of 1.5% per month.</w:t>
      </w:r>
    </w:p>
    <w:p>
      <w:pPr>
        <w:numPr>
          <w:ilvl w:val="0"/>
          <w:numId w:val="1001"/>
        </w:numPr>
        <w:pStyle w:val="Compact"/>
      </w:pPr>
      <w:r>
        <w:t xml:space="preserve">This invoice is valid for the services rendered by the designated Petroleum Engineer as per the agreed scope of work.</w:t>
      </w:r>
    </w:p>
    <w:p>
      <w:pPr>
        <w:numPr>
          <w:ilvl w:val="0"/>
          <w:numId w:val="1001"/>
        </w:numPr>
        <w:pStyle w:val="Compact"/>
      </w:pPr>
      <w:r>
        <w:t xml:space="preserve">Any disputes regarding this invoice must be raised in writing within 14 days of receipt.</w:t>
      </w:r>
    </w:p>
    <w:p>
      <w:pPr>
        <w:numPr>
          <w:ilvl w:val="0"/>
          <w:numId w:val="1001"/>
        </w:numPr>
        <w:pStyle w:val="Compact"/>
      </w:pPr>
      <w:r>
        <w:t xml:space="preserve">Intellectual property rights regarding the simulation models and reports remain with the client upon full payment.</w:t>
      </w:r>
    </w:p>
    <w:bookmarkEnd w:id="25"/>
    <w:p>
      <w:pPr>
        <w:pStyle w:val="FirstParagraph"/>
      </w:pPr>
      <w:r>
        <w:rPr>
          <w:bCs/>
          <w:b/>
        </w:rPr>
        <w:t xml:space="preserve">Authorized Signature</w:t>
      </w:r>
    </w:p>
    <w:p>
      <w:pPr>
        <w:pStyle w:val="BodyText"/>
      </w:pPr>
      <w:r>
        <w:t xml:space="preserve">Dr. Ahmed Al-Faisal</w:t>
      </w:r>
    </w:p>
    <w:p>
      <w:pPr>
        <w:pStyle w:val="BodyText"/>
      </w:pPr>
      <w:r>
        <w:t xml:space="preserve">Chief Petroleum Engineer</w:t>
      </w:r>
    </w:p>
    <w:p>
      <w:pPr>
        <w:pStyle w:val="BodyText"/>
      </w:pPr>
      <w:r>
        <w:t xml:space="preserve">Al-Riyadh Energy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2026-10-10T03:38:40Z</dcterms:created>
  <dcterms:modified xsi:type="dcterms:W3CDTF">2026-10-10T03:38:40Z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