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Petroleum</w:t>
      </w:r>
      <w:r>
        <w:t xml:space="preserve"> </w:t>
      </w:r>
      <w:r>
        <w:t xml:space="preserve">Engineering</w:t>
      </w:r>
      <w:r>
        <w:t xml:space="preserve"> </w:t>
      </w:r>
      <w:r>
        <w:t xml:space="preserve">Services</w:t>
      </w:r>
    </w:p>
    <w:bookmarkStart w:id="20" w:name="iberian-energy-solutions-s.l."/>
    <w:p>
      <w:pPr>
        <w:pStyle w:val="Heading1"/>
      </w:pPr>
      <w:r>
        <w:t xml:space="preserve">Iberian Energy Solutions S.L.</w:t>
      </w:r>
    </w:p>
    <w:p>
      <w:pPr>
        <w:pStyle w:val="FirstParagraph"/>
      </w:pPr>
      <w:r>
        <w:rPr>
          <w:bCs/>
          <w:b/>
        </w:rPr>
        <w:t xml:space="preserve">Specialized Petroleum Engineering Consultancy</w:t>
      </w:r>
    </w:p>
    <w:p>
      <w:pPr>
        <w:pStyle w:val="BodyText"/>
      </w:pPr>
      <w:r>
        <w:t xml:space="preserve">Calle de Alcalá, 45, 28014 Madrid, Spain</w:t>
      </w:r>
    </w:p>
    <w:p>
      <w:pPr>
        <w:pStyle w:val="BodyText"/>
      </w:pPr>
      <w:r>
        <w:t xml:space="preserve">NIF: B-87654321 | CIF: B-87654321</w:t>
      </w:r>
    </w:p>
    <w:p>
      <w:pPr>
        <w:pStyle w:val="BodyText"/>
      </w:pPr>
      <w:r>
        <w:t xml:space="preserve">Email: billing@iberianenergy.es | Phone: +34 91 123 4567</w:t>
      </w:r>
    </w:p>
    <w:bookmarkEnd w:id="20"/>
    <w:bookmarkStart w:id="21" w:name="invoice"/>
    <w:p>
      <w:pPr>
        <w:pStyle w:val="Heading2"/>
      </w:pPr>
      <w:r>
        <w:t xml:space="preserve">INVOICE</w:t>
      </w:r>
    </w:p>
    <w:p>
      <w:pPr>
        <w:pStyle w:val="FirstParagraph"/>
      </w:pPr>
      <w:r>
        <w:t xml:space="preserve">Invoice Number: INV-2023-10-045</w:t>
      </w:r>
    </w:p>
    <w:p>
      <w:pPr>
        <w:pStyle w:val="BodyText"/>
      </w:pPr>
      <w:r>
        <w:t xml:space="preserve">Date of Issue: October 24, 2023</w:t>
      </w:r>
    </w:p>
    <w:p>
      <w:pPr>
        <w:pStyle w:val="BodyText"/>
      </w:pPr>
      <w:r>
        <w:t xml:space="preserve">Due Date: November 23, 2023</w:t>
      </w:r>
    </w:p>
    <w:p>
      <w:pPr>
        <w:pStyle w:val="BodyText"/>
      </w:pPr>
      <w:r>
        <w:t xml:space="preserve">Reference: Project Madrid-Offshore-Alpha</w:t>
      </w:r>
    </w:p>
    <w:bookmarkEnd w:id="21"/>
    <w:bookmarkStart w:id="22" w:name="bill-to"/>
    <w:p>
      <w:pPr>
        <w:pStyle w:val="Heading3"/>
      </w:pPr>
      <w:r>
        <w:t xml:space="preserve">Bill To:</w:t>
      </w:r>
    </w:p>
    <w:p>
      <w:pPr>
        <w:pStyle w:val="FirstParagraph"/>
      </w:pPr>
      <w:r>
        <w:rPr>
          <w:bCs/>
          <w:b/>
        </w:rPr>
        <w:t xml:space="preserve">Global Hydrocarbons Europe S.A.</w:t>
      </w:r>
    </w:p>
    <w:p>
      <w:pPr>
        <w:pStyle w:val="BodyText"/>
      </w:pPr>
      <w:r>
        <w:t xml:space="preserve">Attn: Procurement Department</w:t>
      </w:r>
    </w:p>
    <w:p>
      <w:pPr>
        <w:pStyle w:val="BodyText"/>
      </w:pPr>
      <w:r>
        <w:t xml:space="preserve">Paseo de la Castellana, 100, 28046 Madrid, Spain</w:t>
      </w:r>
    </w:p>
    <w:p>
      <w:pPr>
        <w:pStyle w:val="BodyText"/>
      </w:pPr>
      <w:r>
        <w:t xml:space="preserve">NIF: A-12345678</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Reservoir Characterization and Simulation Analysis</w:t>
            </w:r>
            <w:r>
              <w:br/>
            </w:r>
            <w:r>
              <w:t xml:space="preserve">Comprehensive evaluation of subsurface reservoir properties for the Madrid-Offshore-Alpha project. This service includes the integration of geological data, petrophysical logs, and fluid analysis to construct a high-fidelity static model. The Petroleum Engineer performed detailed history matching to ensure the dynamic model accurately reflects past production behavior, allowing for reliable forecasting of future recovery rates.</w:t>
            </w:r>
          </w:p>
        </w:tc>
        <w:tc>
          <w:tcPr/>
          <w:p>
            <w:pPr>
              <w:pStyle w:val="Compact"/>
              <w:jc w:val="left"/>
            </w:pPr>
            <w:r>
              <w:t xml:space="preserve">120.00</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2</w:t>
            </w:r>
          </w:p>
        </w:tc>
        <w:tc>
          <w:tcPr/>
          <w:p>
            <w:pPr>
              <w:pStyle w:val="Compact"/>
              <w:jc w:val="left"/>
            </w:pPr>
            <w:r>
              <w:rPr>
                <w:bCs/>
                <w:b/>
              </w:rPr>
              <w:t xml:space="preserve">Well Completion Design and Optimization</w:t>
            </w:r>
            <w:r>
              <w:br/>
            </w:r>
            <w:r>
              <w:t xml:space="preserve">Engineering design for the completion of three new appraisal wells located in the designated sector. The Petroleum Engineer provided technical specifications for casing strings, cementing programs, and perforation strategies tailored to the specific pressure and temperature conditions of the reservoir. This includes the selection of artificial lift systems to maximize initial production rates while ensuring long-term well integrity.</w:t>
            </w:r>
          </w:p>
        </w:tc>
        <w:tc>
          <w:tcPr/>
          <w:p>
            <w:pPr>
              <w:pStyle w:val="Compact"/>
              <w:jc w:val="left"/>
            </w:pPr>
            <w:r>
              <w:t xml:space="preserve">85.00</w:t>
            </w:r>
          </w:p>
        </w:tc>
        <w:tc>
          <w:tcPr/>
          <w:p>
            <w:pPr>
              <w:pStyle w:val="Compact"/>
              <w:jc w:val="left"/>
            </w:pPr>
            <w:r>
              <w:t xml:space="preserve">195.00</w:t>
            </w:r>
          </w:p>
        </w:tc>
        <w:tc>
          <w:tcPr/>
          <w:p>
            <w:pPr>
              <w:pStyle w:val="Compact"/>
              <w:jc w:val="left"/>
            </w:pPr>
            <w:r>
              <w:t xml:space="preserve">16,575.00</w:t>
            </w:r>
          </w:p>
        </w:tc>
      </w:tr>
      <w:tr>
        <w:tc>
          <w:tcPr/>
          <w:p>
            <w:pPr>
              <w:pStyle w:val="Compact"/>
              <w:jc w:val="left"/>
            </w:pPr>
            <w:r>
              <w:t xml:space="preserve">3</w:t>
            </w:r>
          </w:p>
        </w:tc>
        <w:tc>
          <w:tcPr/>
          <w:p>
            <w:pPr>
              <w:pStyle w:val="Compact"/>
              <w:jc w:val="left"/>
            </w:pPr>
            <w:r>
              <w:rPr>
                <w:bCs/>
                <w:b/>
              </w:rPr>
              <w:t xml:space="preserve">Production Decline Analysis and Forecasting</w:t>
            </w:r>
            <w:r>
              <w:br/>
            </w:r>
            <w:r>
              <w:t xml:space="preserve">Statistical analysis of historical production data to determine the decline curve parameters. The Petroleum Engineer utilized Arps decline curve analysis and material balance methods to estimate the Remaining Oil in Place (ROIP). This report is critical for the client's strategic planning and reserve reporting in accordance with international standards.</w:t>
            </w:r>
          </w:p>
        </w:tc>
        <w:tc>
          <w:tcPr/>
          <w:p>
            <w:pPr>
              <w:pStyle w:val="Compact"/>
              <w:jc w:val="left"/>
            </w:pPr>
            <w:r>
              <w:t xml:space="preserve">40.00</w:t>
            </w:r>
          </w:p>
        </w:tc>
        <w:tc>
          <w:tcPr/>
          <w:p>
            <w:pPr>
              <w:pStyle w:val="Compact"/>
              <w:jc w:val="left"/>
            </w:pPr>
            <w:r>
              <w:t xml:space="preserve">175.00</w:t>
            </w:r>
          </w:p>
        </w:tc>
        <w:tc>
          <w:tcPr/>
          <w:p>
            <w:pPr>
              <w:pStyle w:val="Compact"/>
              <w:jc w:val="left"/>
            </w:pPr>
            <w:r>
              <w:t xml:space="preserve">7,000.00</w:t>
            </w:r>
          </w:p>
        </w:tc>
      </w:tr>
      <w:tr>
        <w:tc>
          <w:tcPr/>
          <w:p>
            <w:pPr>
              <w:pStyle w:val="Compact"/>
              <w:jc w:val="left"/>
            </w:pPr>
            <w:r>
              <w:t xml:space="preserve">4</w:t>
            </w:r>
          </w:p>
        </w:tc>
        <w:tc>
          <w:tcPr/>
          <w:p>
            <w:pPr>
              <w:pStyle w:val="Compact"/>
              <w:jc w:val="left"/>
            </w:pPr>
            <w:r>
              <w:rPr>
                <w:bCs/>
                <w:b/>
              </w:rPr>
              <w:t xml:space="preserve">Technical Site Supervision in Madrid Operations Center</w:t>
            </w:r>
            <w:r>
              <w:br/>
            </w:r>
            <w:r>
              <w:t xml:space="preserve">On-site technical oversight and coordination with the drilling contractor. The Petroleum Engineer monitored real-time drilling parameters to mitigate geological risks and ensure adherence to the engineering design. This service ensures that the operational execution aligns with the safety and efficiency protocols required for operations based in Spain Madrid.</w:t>
            </w:r>
          </w:p>
        </w:tc>
        <w:tc>
          <w:tcPr/>
          <w:p>
            <w:pPr>
              <w:pStyle w:val="Compact"/>
              <w:jc w:val="left"/>
            </w:pPr>
            <w:r>
              <w:t xml:space="preserve">16.00</w:t>
            </w:r>
          </w:p>
        </w:tc>
        <w:tc>
          <w:tcPr/>
          <w:p>
            <w:pPr>
              <w:pStyle w:val="Compact"/>
              <w:jc w:val="left"/>
            </w:pPr>
            <w:r>
              <w:t xml:space="preserve">210.00</w:t>
            </w:r>
          </w:p>
        </w:tc>
        <w:tc>
          <w:tcPr/>
          <w:p>
            <w:pPr>
              <w:pStyle w:val="Compact"/>
              <w:jc w:val="left"/>
            </w:pPr>
            <w:r>
              <w:t xml:space="preserve">3,360.00</w:t>
            </w:r>
          </w:p>
        </w:tc>
      </w:tr>
      <w:tr>
        <w:tc>
          <w:tcPr/>
          <w:p>
            <w:pPr>
              <w:pStyle w:val="Compact"/>
              <w:jc w:val="left"/>
            </w:pPr>
            <w:r>
              <w:t xml:space="preserve">5</w:t>
            </w:r>
          </w:p>
        </w:tc>
        <w:tc>
          <w:tcPr/>
          <w:p>
            <w:pPr>
              <w:pStyle w:val="Compact"/>
              <w:jc w:val="left"/>
            </w:pPr>
            <w:r>
              <w:rPr>
                <w:bCs/>
                <w:b/>
              </w:rPr>
              <w:t xml:space="preserve">Regulatory Compliance and Environmental Impact Assessment Support</w:t>
            </w:r>
            <w:r>
              <w:br/>
            </w:r>
            <w:r>
              <w:t xml:space="preserve">Preparation of technical documentation required by the Spanish Ministry for Ecological Transition. The Petroleum Engineer assisted in drafting the technical justification for the extraction plan, ensuring compliance with local regulations governing petroleum activities in the Madrid region and surrounding jurisdictions.</w:t>
            </w:r>
          </w:p>
        </w:tc>
        <w:tc>
          <w:tcPr/>
          <w:p>
            <w:pPr>
              <w:pStyle w:val="Compact"/>
              <w:jc w:val="left"/>
            </w:pPr>
            <w:r>
              <w:t xml:space="preserve">30.00</w:t>
            </w:r>
          </w:p>
        </w:tc>
        <w:tc>
          <w:tcPr/>
          <w:p>
            <w:pPr>
              <w:pStyle w:val="Compact"/>
              <w:jc w:val="left"/>
            </w:pPr>
            <w:r>
              <w:t xml:space="preserve">160.00</w:t>
            </w:r>
          </w:p>
        </w:tc>
        <w:tc>
          <w:tcPr/>
          <w:p>
            <w:pPr>
              <w:pStyle w:val="Compact"/>
              <w:jc w:val="left"/>
            </w:pPr>
            <w:r>
              <w:t xml:space="preserve">4,800.00</w:t>
            </w:r>
          </w:p>
        </w:tc>
      </w:tr>
    </w:tbl>
    <w:p>
      <w:pPr>
        <w:pStyle w:val="BodyText"/>
      </w:pPr>
      <w:r>
        <w:t xml:space="preserve">Subtotal:</w:t>
      </w:r>
      <w:r>
        <w:t xml:space="preserve"> </w:t>
      </w:r>
      <w:r>
        <w:t xml:space="preserve">53,935.00 EUR</w:t>
      </w:r>
    </w:p>
    <w:p>
      <w:pPr>
        <w:pStyle w:val="BodyText"/>
      </w:pPr>
      <w:r>
        <w:t xml:space="preserve">VAT (IVA 21%):</w:t>
      </w:r>
      <w:r>
        <w:t xml:space="preserve"> </w:t>
      </w:r>
      <w:r>
        <w:t xml:space="preserve">11,326.35 EUR</w:t>
      </w:r>
    </w:p>
    <w:p>
      <w:pPr>
        <w:pStyle w:val="BodyText"/>
      </w:pPr>
      <w:r>
        <w:t xml:space="preserve">TOTAL DUE:</w:t>
      </w:r>
      <w:r>
        <w:t xml:space="preserve"> </w:t>
      </w:r>
      <w:r>
        <w:t xml:space="preserve">65,261.35 EUR</w:t>
      </w:r>
    </w:p>
    <w:bookmarkStart w:id="23" w:name="payment-instructions"/>
    <w:p>
      <w:pPr>
        <w:pStyle w:val="Heading4"/>
      </w:pPr>
      <w:r>
        <w:t xml:space="preserve">Payment Instructions:</w:t>
      </w:r>
    </w:p>
    <w:p>
      <w:pPr>
        <w:pStyle w:val="FirstParagraph"/>
      </w:pPr>
      <w:r>
        <w:t xml:space="preserve">Please transfer the total amount of</w:t>
      </w:r>
      <w:r>
        <w:t xml:space="preserve"> </w:t>
      </w:r>
      <w:r>
        <w:rPr>
          <w:bCs/>
          <w:b/>
        </w:rPr>
        <w:t xml:space="preserve">65,261.35 EUR</w:t>
      </w:r>
      <w:r>
        <w:t xml:space="preserve"> </w:t>
      </w:r>
      <w:r>
        <w:t xml:space="preserve">within 30 days of the invoice date.</w:t>
      </w:r>
    </w:p>
    <w:p>
      <w:pPr>
        <w:pStyle w:val="BodyText"/>
      </w:pPr>
      <w:r>
        <w:rPr>
          <w:bCs/>
          <w:b/>
        </w:rPr>
        <w:t xml:space="preserve">Bank Name:</w:t>
      </w:r>
      <w:r>
        <w:t xml:space="preserve"> </w:t>
      </w:r>
      <w:r>
        <w:t xml:space="preserve">Banco Santander S.A.</w:t>
      </w:r>
    </w:p>
    <w:p>
      <w:pPr>
        <w:pStyle w:val="BodyText"/>
      </w:pPr>
      <w:r>
        <w:rPr>
          <w:bCs/>
          <w:b/>
        </w:rPr>
        <w:t xml:space="preserve">Account Holder:</w:t>
      </w:r>
      <w:r>
        <w:t xml:space="preserve"> </w:t>
      </w:r>
      <w:r>
        <w:t xml:space="preserve">Iberian Energy Solutions S.L.</w:t>
      </w:r>
    </w:p>
    <w:p>
      <w:pPr>
        <w:pStyle w:val="BodyText"/>
      </w:pPr>
      <w:r>
        <w:rPr>
          <w:bCs/>
          <w:b/>
        </w:rPr>
        <w:t xml:space="preserve">IBAN:</w:t>
      </w:r>
      <w:r>
        <w:t xml:space="preserve"> </w:t>
      </w:r>
      <w:r>
        <w:t xml:space="preserve">ES91 2100 0418 4502 0005 1332</w:t>
      </w:r>
    </w:p>
    <w:p>
      <w:pPr>
        <w:pStyle w:val="BodyText"/>
      </w:pPr>
      <w:r>
        <w:rPr>
          <w:bCs/>
          <w:b/>
        </w:rPr>
        <w:t xml:space="preserve">BIC/SWIFT:</w:t>
      </w:r>
      <w:r>
        <w:t xml:space="preserve"> </w:t>
      </w:r>
      <w:r>
        <w:t xml:space="preserve">BSCHESMM</w:t>
      </w:r>
    </w:p>
    <w:p>
      <w:pPr>
        <w:pStyle w:val="BodyText"/>
      </w:pPr>
      <w:r>
        <w:rPr>
          <w:bCs/>
          <w:b/>
        </w:rPr>
        <w:t xml:space="preserve">Reference:</w:t>
      </w:r>
      <w:r>
        <w:t xml:space="preserve"> </w:t>
      </w:r>
      <w:r>
        <w:t xml:space="preserve">INV-2023-10-045</w:t>
      </w:r>
    </w:p>
    <w:bookmarkEnd w:id="23"/>
    <w:bookmarkStart w:id="24" w:name="terms-and-conditions"/>
    <w:p>
      <w:pPr>
        <w:pStyle w:val="Heading4"/>
      </w:pPr>
      <w:r>
        <w:t xml:space="preserve">Terms and Conditions:</w:t>
      </w:r>
    </w:p>
    <w:p>
      <w:pPr>
        <w:pStyle w:val="FirstParagraph"/>
      </w:pPr>
      <w:r>
        <w:t xml:space="preserve">1. This Invoice represents professional services rendered by a certified Petroleum Engineer specializing in reservoir management and production optimization.</w:t>
      </w:r>
    </w:p>
    <w:p>
      <w:pPr>
        <w:pStyle w:val="BodyText"/>
      </w:pPr>
      <w:r>
        <w:t xml:space="preserve">2. All services were performed in accordance with the technical specifications agreed upon for the project located in Spain Madrid.</w:t>
      </w:r>
    </w:p>
    <w:p>
      <w:pPr>
        <w:pStyle w:val="BodyText"/>
      </w:pPr>
      <w:r>
        <w:t xml:space="preserve">3. Late payments will incur a penalty interest rate of 1.5% per month on the outstanding balance, in accordance with Spanish commercial law.</w:t>
      </w:r>
    </w:p>
    <w:p>
      <w:pPr>
        <w:pStyle w:val="BodyText"/>
      </w:pPr>
      <w:r>
        <w:t xml:space="preserve">4. Intellectual property rights regarding the simulation models and technical reports remain with Iberian Energy Solutions S.L. until full payment is received.</w:t>
      </w:r>
    </w:p>
    <w:p>
      <w:pPr>
        <w:pStyle w:val="BodyText"/>
      </w:pPr>
      <w:r>
        <w:t xml:space="preserve">5. Any disputes arising from this invoice shall be subject to the jurisdiction of the courts of Madrid, Spain.</w:t>
      </w:r>
    </w:p>
    <w:bookmarkEnd w:id="24"/>
    <w:p>
      <w:pPr>
        <w:pStyle w:val="BodyText"/>
      </w:pPr>
      <w:r>
        <w:rPr>
          <w:bCs/>
          <w:b/>
        </w:rPr>
        <w:t xml:space="preserve">Authorized Signature</w:t>
      </w:r>
    </w:p>
    <w:p>
      <w:pPr>
        <w:pStyle w:val="BodyText"/>
      </w:pPr>
      <w:r>
        <w:t xml:space="preserve">Dr. Alejandro Ruiz</w:t>
      </w:r>
    </w:p>
    <w:p>
      <w:pPr>
        <w:pStyle w:val="BodyText"/>
      </w:pPr>
      <w:r>
        <w:t xml:space="preserve">Lead Petroleum Engineer</w:t>
      </w:r>
    </w:p>
    <w:p>
      <w:pPr>
        <w:pStyle w:val="BodyText"/>
      </w:pPr>
      <w:r>
        <w:t xml:space="preserve">Iberian Energy Solutions S.L.</w:t>
      </w:r>
    </w:p>
    <w:p>
      <w:pPr>
        <w:pStyle w:val="BodyText"/>
      </w:pPr>
      <w:r>
        <w:rPr>
          <w:bCs/>
          <w:b/>
        </w:rPr>
        <w:t xml:space="preserve">Received By</w:t>
      </w:r>
    </w:p>
    <w:p>
      <w:pPr>
        <w:pStyle w:val="BodyText"/>
      </w:pPr>
      <w:r>
        <w:t xml:space="preserve">Global Hydrocarbons Europe S.A.</w:t>
      </w:r>
    </w:p>
    <w:p>
      <w:pPr>
        <w:pStyle w:val="BodyText"/>
      </w:pP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Petroleum Engineering Services</dc:title>
  <dc:creator/>
  <dc:language>en</dc:language>
  <cp:keywords/>
  <dcterms:created xsi:type="dcterms:W3CDTF">2026-10-10T04:32:37Z</dcterms:created>
  <dcterms:modified xsi:type="dcterms:W3CDTF">2026-10-10T04:32:37Z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