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Petroleum</w:t>
      </w:r>
      <w:r>
        <w:t xml:space="preserve"> </w:t>
      </w:r>
      <w:r>
        <w:t xml:space="preserve">Engineering</w:t>
      </w:r>
      <w:r>
        <w:t xml:space="preserve"> </w:t>
      </w:r>
      <w:r>
        <w:t xml:space="preserve">Services</w:t>
      </w:r>
    </w:p>
    <w:bookmarkStart w:id="20" w:name="ankara-energy-solutions-ltd."/>
    <w:p>
      <w:pPr>
        <w:pStyle w:val="Heading1"/>
      </w:pPr>
      <w:r>
        <w:t xml:space="preserve">Ankara Energy Solutions Ltd.</w:t>
      </w:r>
    </w:p>
    <w:p>
      <w:pPr>
        <w:pStyle w:val="FirstParagraph"/>
      </w:pPr>
      <w:r>
        <w:t xml:space="preserve">Specialized Petroleum Engineering Consultancy</w:t>
      </w:r>
    </w:p>
    <w:p>
      <w:pPr>
        <w:pStyle w:val="BodyText"/>
      </w:pPr>
      <w:r>
        <w:t xml:space="preserve">Çankaya District, Kızılay Avenue No: 123</w:t>
      </w:r>
    </w:p>
    <w:p>
      <w:pPr>
        <w:pStyle w:val="BodyText"/>
      </w:pPr>
      <w:r>
        <w:t xml:space="preserve">06420 Ankara, Turkey</w:t>
      </w:r>
    </w:p>
    <w:p>
      <w:pPr>
        <w:pStyle w:val="BodyText"/>
      </w:pPr>
      <w:r>
        <w:t xml:space="preserve">Tax ID (VKN): 123 456 78 90</w:t>
      </w:r>
    </w:p>
    <w:p>
      <w:pPr>
        <w:pStyle w:val="BodyText"/>
      </w:pPr>
      <w:r>
        <w:t xml:space="preserve">Email: billing@ankaraenergysolutions.com.tr</w:t>
      </w:r>
    </w:p>
    <w:p>
      <w:pPr>
        <w:pStyle w:val="BodyText"/>
      </w:pPr>
      <w:r>
        <w:t xml:space="preserve">Phone: +90 (312) 555 0199</w:t>
      </w:r>
    </w:p>
    <w:bookmarkEnd w:id="20"/>
    <w:bookmarkStart w:id="21" w:name="invoice"/>
    <w:p>
      <w:pPr>
        <w:pStyle w:val="Heading2"/>
      </w:pPr>
      <w:r>
        <w:t xml:space="preserve">INVOICE</w:t>
      </w:r>
    </w:p>
    <w:p>
      <w:pPr>
        <w:pStyle w:val="FirstParagraph"/>
      </w:pPr>
      <w:r>
        <w:t xml:space="preserve">Official Tax Document</w:t>
      </w:r>
    </w:p>
    <w:bookmarkEnd w:id="21"/>
    <w:bookmarkStart w:id="22" w:name="bill-to"/>
    <w:p>
      <w:pPr>
        <w:pStyle w:val="Heading3"/>
      </w:pPr>
      <w:r>
        <w:t xml:space="preserve">Bill To:</w:t>
      </w:r>
    </w:p>
    <w:p>
      <w:pPr>
        <w:pStyle w:val="FirstParagraph"/>
      </w:pPr>
      <w:r>
        <w:rPr>
          <w:bCs/>
          <w:b/>
        </w:rPr>
        <w:t xml:space="preserve">Global Oil &amp; Gas Exploration Inc.</w:t>
      </w:r>
    </w:p>
    <w:p>
      <w:pPr>
        <w:pStyle w:val="BodyText"/>
      </w:pPr>
      <w:r>
        <w:t xml:space="preserve">Attn: Procurement Department</w:t>
      </w:r>
    </w:p>
    <w:p>
      <w:pPr>
        <w:pStyle w:val="BodyText"/>
      </w:pPr>
      <w:r>
        <w:t xml:space="preserve">Business Center, Maslak Mahallesi</w:t>
      </w:r>
    </w:p>
    <w:p>
      <w:pPr>
        <w:pStyle w:val="BodyText"/>
      </w:pPr>
      <w:r>
        <w:t xml:space="preserve">34398 Şişli, Istanbul, Turkey</w:t>
      </w:r>
    </w:p>
    <w:p>
      <w:pPr>
        <w:pStyle w:val="BodyText"/>
      </w:pPr>
      <w:r>
        <w:t xml:space="preserve">Tax ID: 987 654 32 10</w:t>
      </w:r>
    </w:p>
    <w:bookmarkEnd w:id="22"/>
    <w:bookmarkStart w:id="23" w:name="invoice-information"/>
    <w:p>
      <w:pPr>
        <w:pStyle w:val="Heading3"/>
      </w:pPr>
      <w:r>
        <w:t xml:space="preserve">Invoice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Invoice Number:</w:t>
            </w:r>
          </w:p>
        </w:tc>
        <w:tc>
          <w:tcPr/>
          <w:p>
            <w:pPr>
              <w:pStyle w:val="Compact"/>
              <w:jc w:val="left"/>
            </w:pPr>
            <w:r>
              <w:t xml:space="preserve">INV-TR-2023-089</w:t>
            </w:r>
          </w:p>
        </w:tc>
      </w:tr>
      <w:tr>
        <w:tc>
          <w:tcPr/>
          <w:p>
            <w:pPr>
              <w:pStyle w:val="Compact"/>
              <w:jc w:val="left"/>
            </w:pPr>
            <w:r>
              <w:t xml:space="preserve">Date of Issue:</w:t>
            </w:r>
          </w:p>
        </w:tc>
        <w:tc>
          <w:tcPr/>
          <w:p>
            <w:pPr>
              <w:pStyle w:val="Compact"/>
              <w:jc w:val="left"/>
            </w:pPr>
            <w:r>
              <w:t xml:space="preserve">October 24, 2023</w:t>
            </w:r>
          </w:p>
        </w:tc>
      </w:tr>
      <w:tr>
        <w:tc>
          <w:tcPr/>
          <w:p>
            <w:pPr>
              <w:pStyle w:val="Compact"/>
              <w:jc w:val="left"/>
            </w:pPr>
            <w:r>
              <w:t xml:space="preserve">Due Date:</w:t>
            </w:r>
          </w:p>
        </w:tc>
        <w:tc>
          <w:tcPr/>
          <w:p>
            <w:pPr>
              <w:pStyle w:val="Compact"/>
              <w:jc w:val="left"/>
            </w:pPr>
            <w:r>
              <w:t xml:space="preserve">November 24, 2023</w:t>
            </w:r>
          </w:p>
        </w:tc>
      </w:tr>
      <w:tr>
        <w:tc>
          <w:tcPr/>
          <w:p>
            <w:pPr>
              <w:pStyle w:val="Compact"/>
              <w:jc w:val="left"/>
            </w:pPr>
            <w:r>
              <w:t xml:space="preserve">Project Reference:</w:t>
            </w:r>
          </w:p>
        </w:tc>
        <w:tc>
          <w:tcPr/>
          <w:p>
            <w:pPr>
              <w:pStyle w:val="Compact"/>
              <w:jc w:val="left"/>
            </w:pPr>
            <w:r>
              <w:t xml:space="preserve">AKN-RES-2023-Q4</w:t>
            </w:r>
          </w:p>
        </w:tc>
      </w:tr>
      <w:tr>
        <w:tc>
          <w:tcPr/>
          <w:p>
            <w:pPr>
              <w:pStyle w:val="Compact"/>
              <w:jc w:val="left"/>
            </w:pPr>
            <w:r>
              <w:t xml:space="preserve">Currency:</w:t>
            </w:r>
          </w:p>
        </w:tc>
        <w:tc>
          <w:tcPr/>
          <w:p>
            <w:pPr>
              <w:pStyle w:val="Compact"/>
              <w:jc w:val="left"/>
            </w:pPr>
            <w:r>
              <w:t xml:space="preserve">TRY (Turkish Lira)</w:t>
            </w:r>
          </w:p>
        </w:tc>
      </w:tr>
    </w:tbl>
    <w:bookmarkEnd w:id="23"/>
    <w:p>
      <w:pPr>
        <w:pStyle w:val="BodyText"/>
      </w:pPr>
      <w:r>
        <w:rPr>
          <w:bCs/>
          <w:b/>
        </w:rPr>
        <w:t xml:space="preserve">Subject:</w:t>
      </w:r>
      <w:r>
        <w:t xml:space="preserve"> </w:t>
      </w:r>
      <w:r>
        <w:t xml:space="preserve">Professional Services Rendered by Senior Petroleum Engineer regarding Reservoir Characterization and Optimization in the Central Anatolia Basin.</w:t>
      </w:r>
    </w:p>
    <w:p>
      <w:pPr>
        <w:pStyle w:val="BodyText"/>
      </w:pPr>
      <w:r>
        <w:t xml:space="preserve">This invoice covers the comprehensive technical analysis, field data interpretation, and strategic consulting provided by our lead Petroleum Engineer. The services were executed in strict accordance with the technical specifications agreed upon for the Ankara-based exploration project. The engineer utilized advanced reservoir simulation software and geological survey data to optimize extraction efficiency and ensure compliance with Turkish energy regulations.</w:t>
      </w:r>
    </w:p>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Quantity</w:t>
            </w:r>
          </w:p>
        </w:tc>
        <w:tc>
          <w:tcPr/>
          <w:p>
            <w:pPr>
              <w:pStyle w:val="Compact"/>
              <w:jc w:val="left"/>
            </w:pPr>
            <w:r>
              <w:t xml:space="preserve">Unit Price (TRY)</w:t>
            </w:r>
          </w:p>
        </w:tc>
        <w:tc>
          <w:tcPr/>
          <w:p>
            <w:pPr>
              <w:pStyle w:val="Compact"/>
              <w:jc w:val="left"/>
            </w:pPr>
            <w:r>
              <w:t xml:space="preserve">Total (TRY)</w:t>
            </w:r>
          </w:p>
        </w:tc>
      </w:tr>
      <w:tr>
        <w:tc>
          <w:tcPr/>
          <w:p>
            <w:pPr>
              <w:pStyle w:val="Compact"/>
              <w:jc w:val="left"/>
            </w:pPr>
            <w:r>
              <w:t xml:space="preserve">1</w:t>
            </w:r>
          </w:p>
        </w:tc>
        <w:tc>
          <w:tcPr/>
          <w:p>
            <w:pPr>
              <w:pStyle w:val="Compact"/>
              <w:jc w:val="left"/>
            </w:pPr>
            <w:r>
              <w:rPr>
                <w:bCs/>
                <w:b/>
              </w:rPr>
              <w:t xml:space="preserve">Reservoir Simulation &amp; Modeling:</w:t>
            </w:r>
            <w:r>
              <w:br/>
            </w:r>
            <w:r>
              <w:t xml:space="preserve">Development of 3D static and dynamic reservoir models for the Ankara region block. Includes integration of seismic data, well logs, and core analysis to predict fluid flow behavior and pressure depletion scenarios.</w:t>
            </w:r>
          </w:p>
        </w:tc>
        <w:tc>
          <w:tcPr/>
          <w:p>
            <w:pPr>
              <w:pStyle w:val="Compact"/>
              <w:jc w:val="left"/>
            </w:pPr>
            <w:r>
              <w:t xml:space="preserve">1</w:t>
            </w:r>
          </w:p>
        </w:tc>
        <w:tc>
          <w:tcPr/>
          <w:p>
            <w:pPr>
              <w:pStyle w:val="Compact"/>
              <w:jc w:val="left"/>
            </w:pPr>
            <w:r>
              <w:t xml:space="preserve">45,000.00</w:t>
            </w:r>
          </w:p>
        </w:tc>
        <w:tc>
          <w:tcPr/>
          <w:p>
            <w:pPr>
              <w:pStyle w:val="Compact"/>
              <w:jc w:val="left"/>
            </w:pPr>
            <w:r>
              <w:t xml:space="preserve">45,000.00</w:t>
            </w:r>
          </w:p>
        </w:tc>
      </w:tr>
      <w:tr>
        <w:tc>
          <w:tcPr/>
          <w:p>
            <w:pPr>
              <w:pStyle w:val="Compact"/>
              <w:jc w:val="left"/>
            </w:pPr>
            <w:r>
              <w:t xml:space="preserve">2</w:t>
            </w:r>
          </w:p>
        </w:tc>
        <w:tc>
          <w:tcPr/>
          <w:p>
            <w:pPr>
              <w:pStyle w:val="Compact"/>
              <w:jc w:val="left"/>
            </w:pPr>
            <w:r>
              <w:rPr>
                <w:bCs/>
                <w:b/>
              </w:rPr>
              <w:t xml:space="preserve">Well Performance Analysis:</w:t>
            </w:r>
            <w:r>
              <w:br/>
            </w:r>
            <w:r>
              <w:t xml:space="preserve">Detailed evaluation of existing well productivity indices. The Petroleum Engineer conducted nodal analysis to identify bottlenecks in the production system and recommended artificial lift optimization strategies.</w:t>
            </w:r>
          </w:p>
        </w:tc>
        <w:tc>
          <w:tcPr/>
          <w:p>
            <w:pPr>
              <w:pStyle w:val="Compact"/>
              <w:jc w:val="left"/>
            </w:pPr>
            <w:r>
              <w:t xml:space="preserve">3</w:t>
            </w:r>
          </w:p>
        </w:tc>
        <w:tc>
          <w:tcPr/>
          <w:p>
            <w:pPr>
              <w:pStyle w:val="Compact"/>
              <w:jc w:val="left"/>
            </w:pPr>
            <w:r>
              <w:t xml:space="preserve">12,500.00</w:t>
            </w:r>
          </w:p>
        </w:tc>
        <w:tc>
          <w:tcPr/>
          <w:p>
            <w:pPr>
              <w:pStyle w:val="Compact"/>
              <w:jc w:val="left"/>
            </w:pPr>
            <w:r>
              <w:t xml:space="preserve">37,500.00</w:t>
            </w:r>
          </w:p>
        </w:tc>
      </w:tr>
      <w:tr>
        <w:tc>
          <w:tcPr/>
          <w:p>
            <w:pPr>
              <w:pStyle w:val="Compact"/>
              <w:jc w:val="left"/>
            </w:pPr>
            <w:r>
              <w:t xml:space="preserve">3</w:t>
            </w:r>
          </w:p>
        </w:tc>
        <w:tc>
          <w:tcPr/>
          <w:p>
            <w:pPr>
              <w:pStyle w:val="Compact"/>
              <w:jc w:val="left"/>
            </w:pPr>
            <w:r>
              <w:rPr>
                <w:bCs/>
                <w:b/>
              </w:rPr>
              <w:t xml:space="preserve">Enhanced Oil Recovery (EOR) Feasibility Study:</w:t>
            </w:r>
            <w:r>
              <w:br/>
            </w:r>
            <w:r>
              <w:t xml:space="preserve">Technical assessment of potential EOR methods (thermal and chemical) suitable for the specific reservoir rock properties in the Ankara basin. Includes economic forecasting and risk assessment.</w:t>
            </w:r>
          </w:p>
        </w:tc>
        <w:tc>
          <w:tcPr/>
          <w:p>
            <w:pPr>
              <w:pStyle w:val="Compact"/>
              <w:jc w:val="left"/>
            </w:pPr>
            <w:r>
              <w:t xml:space="preserve">1</w:t>
            </w:r>
          </w:p>
        </w:tc>
        <w:tc>
          <w:tcPr/>
          <w:p>
            <w:pPr>
              <w:pStyle w:val="Compact"/>
              <w:jc w:val="left"/>
            </w:pPr>
            <w:r>
              <w:t xml:space="preserve">30,000.00</w:t>
            </w:r>
          </w:p>
        </w:tc>
        <w:tc>
          <w:tcPr/>
          <w:p>
            <w:pPr>
              <w:pStyle w:val="Compact"/>
              <w:jc w:val="left"/>
            </w:pPr>
            <w:r>
              <w:t xml:space="preserve">30,000.00</w:t>
            </w:r>
          </w:p>
        </w:tc>
      </w:tr>
      <w:tr>
        <w:tc>
          <w:tcPr/>
          <w:p>
            <w:pPr>
              <w:pStyle w:val="Compact"/>
              <w:jc w:val="left"/>
            </w:pPr>
            <w:r>
              <w:t xml:space="preserve">4</w:t>
            </w:r>
          </w:p>
        </w:tc>
        <w:tc>
          <w:tcPr/>
          <w:p>
            <w:pPr>
              <w:pStyle w:val="Compact"/>
              <w:jc w:val="left"/>
            </w:pPr>
            <w:r>
              <w:rPr>
                <w:bCs/>
                <w:b/>
              </w:rPr>
              <w:t xml:space="preserve">Regulatory Compliance &amp; Reporting:</w:t>
            </w:r>
            <w:r>
              <w:br/>
            </w:r>
            <w:r>
              <w:t xml:space="preserve">Preparation of technical reports required by the Turkish General Directorate of Mineral Research and Exploration (MTA). Ensuring all engineering practices meet local environmental and safety standards.</w:t>
            </w:r>
          </w:p>
        </w:tc>
        <w:tc>
          <w:tcPr/>
          <w:p>
            <w:pPr>
              <w:pStyle w:val="Compact"/>
              <w:jc w:val="left"/>
            </w:pPr>
            <w:r>
              <w:t xml:space="preserve">1</w:t>
            </w:r>
          </w:p>
        </w:tc>
        <w:tc>
          <w:tcPr/>
          <w:p>
            <w:pPr>
              <w:pStyle w:val="Compact"/>
              <w:jc w:val="left"/>
            </w:pPr>
            <w:r>
              <w:t xml:space="preserve">15,000.00</w:t>
            </w:r>
          </w:p>
        </w:tc>
        <w:tc>
          <w:tcPr/>
          <w:p>
            <w:pPr>
              <w:pStyle w:val="Compact"/>
              <w:jc w:val="left"/>
            </w:pPr>
            <w:r>
              <w:t xml:space="preserve">15,000.00</w:t>
            </w:r>
          </w:p>
        </w:tc>
      </w:tr>
      <w:tr>
        <w:tc>
          <w:tcPr/>
          <w:p>
            <w:pPr>
              <w:pStyle w:val="Compact"/>
              <w:jc w:val="left"/>
            </w:pPr>
            <w:r>
              <w:t xml:space="preserve">5</w:t>
            </w:r>
          </w:p>
        </w:tc>
        <w:tc>
          <w:tcPr/>
          <w:p>
            <w:pPr>
              <w:pStyle w:val="Compact"/>
              <w:jc w:val="left"/>
            </w:pPr>
            <w:r>
              <w:rPr>
                <w:bCs/>
                <w:b/>
              </w:rPr>
              <w:t xml:space="preserve">On-Site Engineering Consultation:</w:t>
            </w:r>
            <w:r>
              <w:br/>
            </w:r>
            <w:r>
              <w:t xml:space="preserve">5 days of on-site supervision and technical guidance provided by the Senior Petroleum Engineer at the Ankara field operations center. Includes daily progress meetings and immediate troubleshooting.</w:t>
            </w:r>
          </w:p>
        </w:tc>
        <w:tc>
          <w:tcPr/>
          <w:p>
            <w:pPr>
              <w:pStyle w:val="Compact"/>
              <w:jc w:val="left"/>
            </w:pPr>
            <w:r>
              <w:t xml:space="preserve">5</w:t>
            </w:r>
          </w:p>
        </w:tc>
        <w:tc>
          <w:tcPr/>
          <w:p>
            <w:pPr>
              <w:pStyle w:val="Compact"/>
              <w:jc w:val="left"/>
            </w:pPr>
            <w:r>
              <w:t xml:space="preserve">4,000.00</w:t>
            </w:r>
          </w:p>
        </w:tc>
        <w:tc>
          <w:tcPr/>
          <w:p>
            <w:pPr>
              <w:pStyle w:val="Compact"/>
              <w:jc w:val="left"/>
            </w:pPr>
            <w:r>
              <w:t xml:space="preserve">20,000.00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147,500.00 TRY</w:t>
            </w:r>
          </w:p>
        </w:tc>
      </w:tr>
      <w:tr>
        <w:tc>
          <w:tcPr/>
          <w:p>
            <w:pPr>
              <w:pStyle w:val="Compact"/>
              <w:jc w:val="left"/>
            </w:pPr>
            <w:r>
              <w:t xml:space="preserve">VAT (KDV) 18%:</w:t>
            </w:r>
          </w:p>
        </w:tc>
        <w:tc>
          <w:tcPr/>
          <w:p>
            <w:pPr>
              <w:pStyle w:val="Compact"/>
              <w:jc w:val="left"/>
            </w:pPr>
            <w:r>
              <w:t xml:space="preserve">26,550.00 TRY</w:t>
            </w:r>
          </w:p>
        </w:tc>
      </w:tr>
      <w:tr>
        <w:tc>
          <w:tcPr/>
          <w:p>
            <w:pPr>
              <w:pStyle w:val="Compact"/>
              <w:jc w:val="left"/>
            </w:pPr>
            <w:r>
              <w:t xml:space="preserve">Stamp Duty (Damga Vergisi):</w:t>
            </w:r>
          </w:p>
        </w:tc>
        <w:tc>
          <w:tcPr/>
          <w:p>
            <w:pPr>
              <w:pStyle w:val="Compact"/>
              <w:jc w:val="left"/>
            </w:pPr>
            <w:r>
              <w:t xml:space="preserve">245.85 TRY</w:t>
            </w:r>
          </w:p>
        </w:tc>
      </w:tr>
      <w:tr>
        <w:tc>
          <w:tcPr/>
          <w:p>
            <w:pPr>
              <w:pStyle w:val="Compact"/>
              <w:jc w:val="left"/>
            </w:pPr>
            <w:r>
              <w:t xml:space="preserve">Grand Total Due:</w:t>
            </w:r>
          </w:p>
        </w:tc>
        <w:tc>
          <w:tcPr/>
          <w:p>
            <w:pPr>
              <w:pStyle w:val="Compact"/>
              <w:jc w:val="left"/>
            </w:pPr>
            <w:r>
              <w:t xml:space="preserve">174,295.85 TRY</w:t>
            </w:r>
          </w:p>
        </w:tc>
      </w:tr>
    </w:tbl>
    <w:bookmarkStart w:id="24" w:name="payment-terms-banking-information"/>
    <w:p>
      <w:pPr>
        <w:pStyle w:val="Heading4"/>
      </w:pPr>
      <w:r>
        <w:t xml:space="preserve">Payment Terms &amp; Banking Information</w:t>
      </w:r>
    </w:p>
    <w:p>
      <w:pPr>
        <w:pStyle w:val="FirstParagraph"/>
      </w:pPr>
      <w:r>
        <w:t xml:space="preserve">Payment is due within 30 days of the invoice date. Please reference the Invoice Number (INV-TR-2023-089) on all transfers. Late payments may be subject to statutory interest rates as per Turkish Commercial Code.</w:t>
      </w:r>
    </w:p>
    <w:p>
      <w:pPr>
        <w:pStyle w:val="BodyText"/>
      </w:pPr>
      <w:r>
        <w:rPr>
          <w:bCs/>
          <w:b/>
        </w:rPr>
        <w:t xml:space="preserve">Bank Name:</w:t>
      </w:r>
      <w:r>
        <w:t xml:space="preserve"> </w:t>
      </w:r>
      <w:r>
        <w:t xml:space="preserve">Ziraat Bankası A.Ş.</w:t>
      </w:r>
    </w:p>
    <w:p>
      <w:pPr>
        <w:pStyle w:val="BodyText"/>
      </w:pPr>
      <w:r>
        <w:rPr>
          <w:bCs/>
          <w:b/>
        </w:rPr>
        <w:t xml:space="preserve">Branch:</w:t>
      </w:r>
      <w:r>
        <w:t xml:space="preserve"> </w:t>
      </w:r>
      <w:r>
        <w:t xml:space="preserve">Ankara Çankaya Merkez</w:t>
      </w:r>
    </w:p>
    <w:p>
      <w:pPr>
        <w:pStyle w:val="BodyText"/>
      </w:pPr>
      <w:r>
        <w:rPr>
          <w:bCs/>
          <w:b/>
        </w:rPr>
        <w:t xml:space="preserve">Account Name:</w:t>
      </w:r>
      <w:r>
        <w:t xml:space="preserve"> </w:t>
      </w:r>
      <w:r>
        <w:t xml:space="preserve">Ankara Energy Solutions Ltd.</w:t>
      </w:r>
    </w:p>
    <w:p>
      <w:pPr>
        <w:pStyle w:val="BodyText"/>
      </w:pPr>
      <w:r>
        <w:rPr>
          <w:bCs/>
          <w:b/>
        </w:rPr>
        <w:t xml:space="preserve">IBAN:</w:t>
      </w:r>
      <w:r>
        <w:t xml:space="preserve"> </w:t>
      </w:r>
      <w:r>
        <w:t xml:space="preserve">TR12 0001 0001 2345 6789 0123 45</w:t>
      </w:r>
    </w:p>
    <w:p>
      <w:pPr>
        <w:pStyle w:val="BodyText"/>
      </w:pPr>
      <w:r>
        <w:rPr>
          <w:bCs/>
          <w:b/>
        </w:rPr>
        <w:t xml:space="preserve">SWIFT/BIC:</w:t>
      </w:r>
      <w:r>
        <w:t xml:space="preserve"> </w:t>
      </w:r>
      <w:r>
        <w:t xml:space="preserve">ZRATTR2A</w:t>
      </w:r>
    </w:p>
    <w:bookmarkEnd w:id="24"/>
    <w:bookmarkStart w:id="25" w:name="important-notes"/>
    <w:p>
      <w:pPr>
        <w:pStyle w:val="Heading4"/>
      </w:pPr>
      <w:r>
        <w:t xml:space="preserve">Important Notes</w:t>
      </w:r>
    </w:p>
    <w:p>
      <w:pPr>
        <w:pStyle w:val="FirstParagraph"/>
      </w:pPr>
      <w:r>
        <w:t xml:space="preserve">1. This invoice is issued in accordance with the Turkish Tax Procedure Law No. 213.</w:t>
      </w:r>
    </w:p>
    <w:p>
      <w:pPr>
        <w:pStyle w:val="BodyText"/>
      </w:pPr>
      <w:r>
        <w:t xml:space="preserve">2. All engineering calculations and recommendations provided by the Petroleum Engineer are based on the data supplied by the client as of the date of service. Ankara Energy Solutions Ltd. assumes no liability for discrepancies arising from inaccurate input data.</w:t>
      </w:r>
    </w:p>
    <w:p>
      <w:pPr>
        <w:pStyle w:val="BodyText"/>
      </w:pPr>
      <w:r>
        <w:t xml:space="preserve">3. Intellectual property rights regarding the reservoir models and simulation files remain with Ankara Energy Solutions Ltd. until full payment is received.</w:t>
      </w:r>
    </w:p>
    <w:p>
      <w:pPr>
        <w:pStyle w:val="BodyText"/>
      </w:pPr>
      <w:r>
        <w:t xml:space="preserve">4. For any queries regarding this invoice or the technical services rendered, please contact our finance department in Ankara.</w:t>
      </w:r>
    </w:p>
    <w:bookmarkEnd w:id="25"/>
    <w:p>
      <w:pPr>
        <w:pStyle w:val="BodyText"/>
      </w:pPr>
      <w:r>
        <w:t xml:space="preserve">Authorized Signature</w:t>
      </w:r>
    </w:p>
    <w:p>
      <w:pPr>
        <w:pStyle w:val="BodyText"/>
      </w:pPr>
      <w:r>
        <w:rPr>
          <w:bCs/>
          <w:b/>
        </w:rPr>
        <w:t xml:space="preserve">Mehmet Yılmaz</w:t>
      </w:r>
    </w:p>
    <w:p>
      <w:pPr>
        <w:pStyle w:val="BodyText"/>
      </w:pPr>
      <w:r>
        <w:t xml:space="preserve">Chief Financial Officer</w:t>
      </w:r>
    </w:p>
    <w:p>
      <w:pPr>
        <w:pStyle w:val="BodyText"/>
      </w:pPr>
      <w:r>
        <w:t xml:space="preserve">Ankara Energy Solutions Ltd.</w:t>
      </w:r>
    </w:p>
    <w:p>
      <w:pPr>
        <w:pStyle w:val="BodyText"/>
      </w:pPr>
      <w:r>
        <w:t xml:space="preserve">Accepted By</w:t>
      </w:r>
    </w:p>
    <w:p>
      <w:pPr>
        <w:pStyle w:val="BodyText"/>
      </w:pPr>
      <w:r>
        <w:rPr>
          <w:bCs/>
          <w:b/>
        </w:rPr>
        <w:t xml:space="preserve">Global Oil &amp; Gas Exploration Inc.</w:t>
      </w:r>
    </w:p>
    <w:p>
      <w:pPr>
        <w:pStyle w:val="BodyText"/>
      </w:pPr>
      <w:r>
        <w:t xml:space="preserve">Date: _______________</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Petroleum Engineering Services</dc:title>
  <dc:creator/>
  <dc:language>en</dc:language>
  <cp:keywords/>
  <dcterms:created xsi:type="dcterms:W3CDTF">2026-10-10T02:22:56Z</dcterms:created>
  <dcterms:modified xsi:type="dcterms:W3CDTF">2026-10-10T02:22:56Z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