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bosphorus-energy-solutions-ltd."/>
    <w:p>
      <w:pPr>
        <w:pStyle w:val="Heading1"/>
      </w:pPr>
      <w:r>
        <w:t xml:space="preserve">Bosphorus Energy Solutions Ltd.</w:t>
      </w:r>
    </w:p>
    <w:p>
      <w:pPr>
        <w:pStyle w:val="FirstParagraph"/>
      </w:pPr>
      <w:r>
        <w:rPr>
          <w:bCs/>
          <w:b/>
        </w:rPr>
        <w:t xml:space="preserve">Specialized Petroleum Engineering Consultancy</w:t>
      </w:r>
    </w:p>
    <w:p>
      <w:pPr>
        <w:pStyle w:val="BodyText"/>
      </w:pPr>
      <w:r>
        <w:t xml:space="preserve">Levent Mahallesi, Büyükdere Caddesi No: 185</w:t>
      </w:r>
    </w:p>
    <w:p>
      <w:pPr>
        <w:pStyle w:val="BodyText"/>
      </w:pPr>
      <w:r>
        <w:t xml:space="preserve">34394 Şişli, Istanbul, Turkey</w:t>
      </w:r>
    </w:p>
    <w:p>
      <w:pPr>
        <w:pStyle w:val="BodyText"/>
      </w:pPr>
      <w:r>
        <w:t xml:space="preserve">Tax ID (VKN): 123 456 78 90</w:t>
      </w:r>
    </w:p>
    <w:p>
      <w:pPr>
        <w:pStyle w:val="BodyText"/>
      </w:pPr>
      <w:r>
        <w:t xml:space="preserve">Email: billing@bosphorusenergy.com.tr</w:t>
      </w:r>
    </w:p>
    <w:p>
      <w:pPr>
        <w:pStyle w:val="BodyText"/>
      </w:pPr>
      <w:r>
        <w:t xml:space="preserve">Phone: +90 212 555 0199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INV-TR-2023-089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Black Sea Offshore Ventures A.Ş.</w:t>
      </w:r>
    </w:p>
    <w:p>
      <w:pPr>
        <w:pStyle w:val="BodyText"/>
      </w:pPr>
      <w:r>
        <w:t xml:space="preserve">Atatürk Mahallesi, Maslak Mahmutbey Caddesi</w:t>
      </w:r>
    </w:p>
    <w:p>
      <w:pPr>
        <w:pStyle w:val="BodyText"/>
      </w:pPr>
      <w:r>
        <w:t xml:space="preserve">34398 Sarıyer, Istanbul, Turkey</w:t>
      </w:r>
    </w:p>
    <w:p>
      <w:pPr>
        <w:pStyle w:val="BodyText"/>
      </w:pPr>
      <w:r>
        <w:t xml:space="preserve">Attn: Procurement Department</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Marmara Basin Reservoir Optimization</w:t>
      </w:r>
    </w:p>
    <w:p>
      <w:pPr>
        <w:pStyle w:val="BodyText"/>
      </w:pPr>
      <w:r>
        <w:rPr>
          <w:bCs/>
          <w:b/>
        </w:rPr>
        <w:t xml:space="preserve">Location:</w:t>
      </w:r>
      <w:r>
        <w:t xml:space="preserve"> </w:t>
      </w:r>
      <w:r>
        <w:t xml:space="preserve">Turkey Istanbul Operations Center</w:t>
      </w:r>
    </w:p>
    <w:p>
      <w:pPr>
        <w:pStyle w:val="BodyText"/>
      </w:pPr>
      <w:r>
        <w:rPr>
          <w:bCs/>
          <w:b/>
        </w:rPr>
        <w:t xml:space="preserve">Service Period:</w:t>
      </w:r>
      <w:r>
        <w:t xml:space="preserve"> </w:t>
      </w:r>
      <w:r>
        <w:t xml:space="preserve">Oct 01, 2023 - Oct 31,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rPr>
                <w:bCs/>
                <w:b/>
              </w:rPr>
              <w:t xml:space="preserve">Reservoir Simulation &amp; Modeling</w:t>
            </w:r>
            <w:r>
              <w:br/>
            </w:r>
            <w:r>
              <w:t xml:space="preserve">Advanced numerical modeling of hydrocarbon reservoirs located in the Marmara region. This service includes the integration of geological data, fluid properties, and rock physics to predict future production performance. Conducted by a Senior Petroleum Engineer utilizing industry-standard software (Eclipse/CMG).</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Well Completion Design &amp; Analysis</w:t>
            </w:r>
            <w:r>
              <w:br/>
            </w:r>
            <w:r>
              <w:t xml:space="preserve">Comprehensive engineering analysis for the optimization of well completions in high-pressure, high-temperature (HPHT) environments typical of the Black Sea basin. Includes casing design, cementing program evaluation, and artificial lift selection to maximize recovery factors.</w:t>
            </w:r>
          </w:p>
        </w:tc>
        <w:tc>
          <w:tcPr/>
          <w:p>
            <w:pPr>
              <w:pStyle w:val="Compact"/>
              <w:jc w:val="left"/>
            </w:pPr>
            <w:r>
              <w:t xml:space="preserve">25</w:t>
            </w:r>
          </w:p>
        </w:tc>
        <w:tc>
          <w:tcPr/>
          <w:p>
            <w:pPr>
              <w:pStyle w:val="Compact"/>
              <w:jc w:val="left"/>
            </w:pPr>
            <w:r>
              <w:t xml:space="preserve">2,500.00</w:t>
            </w:r>
          </w:p>
        </w:tc>
        <w:tc>
          <w:tcPr/>
          <w:p>
            <w:pPr>
              <w:pStyle w:val="Compact"/>
              <w:jc w:val="left"/>
            </w:pPr>
            <w:r>
              <w:t xml:space="preserve">62,500.00</w:t>
            </w:r>
          </w:p>
        </w:tc>
      </w:tr>
      <w:tr>
        <w:tc>
          <w:tcPr/>
          <w:p>
            <w:pPr>
              <w:pStyle w:val="Compact"/>
              <w:jc w:val="left"/>
            </w:pPr>
            <w:r>
              <w:t xml:space="preserve">3</w:t>
            </w:r>
          </w:p>
        </w:tc>
        <w:tc>
          <w:tcPr/>
          <w:p>
            <w:pPr>
              <w:pStyle w:val="Compact"/>
              <w:jc w:val="left"/>
            </w:pPr>
            <w:r>
              <w:rPr>
                <w:bCs/>
                <w:b/>
              </w:rPr>
              <w:t xml:space="preserve">Production Data Diagnostics</w:t>
            </w:r>
            <w:r>
              <w:br/>
            </w:r>
            <w:r>
              <w:t xml:space="preserve">Detailed analysis of historical production data to identify decline trends and bottlenecks. This involves rate transient analysis (RTA) and nodal analysis to determine the optimal operating conditions for existing wells in the Turkey Istanbul offshore sector.</w:t>
            </w:r>
          </w:p>
        </w:tc>
        <w:tc>
          <w:tcPr/>
          <w:p>
            <w:pPr>
              <w:pStyle w:val="Compact"/>
              <w:jc w:val="left"/>
            </w:pPr>
            <w:r>
              <w:t xml:space="preserve">20</w:t>
            </w:r>
          </w:p>
        </w:tc>
        <w:tc>
          <w:tcPr/>
          <w:p>
            <w:pPr>
              <w:pStyle w:val="Compact"/>
              <w:jc w:val="left"/>
            </w:pPr>
            <w:r>
              <w:t xml:space="preserve">2,500.00</w:t>
            </w:r>
          </w:p>
        </w:tc>
        <w:tc>
          <w:tcPr/>
          <w:p>
            <w:pPr>
              <w:pStyle w:val="Compact"/>
              <w:jc w:val="left"/>
            </w:pPr>
            <w:r>
              <w:t xml:space="preserve">50,000.00</w:t>
            </w:r>
          </w:p>
        </w:tc>
      </w:tr>
      <w:tr>
        <w:tc>
          <w:tcPr/>
          <w:p>
            <w:pPr>
              <w:pStyle w:val="Compact"/>
              <w:jc w:val="left"/>
            </w:pPr>
            <w:r>
              <w:t xml:space="preserve">4</w:t>
            </w:r>
          </w:p>
        </w:tc>
        <w:tc>
          <w:tcPr/>
          <w:p>
            <w:pPr>
              <w:pStyle w:val="Compact"/>
              <w:jc w:val="left"/>
            </w:pPr>
            <w:r>
              <w:rPr>
                <w:bCs/>
                <w:b/>
              </w:rPr>
              <w:t xml:space="preserve">Technical Reporting &amp; Regulatory Compliance</w:t>
            </w:r>
            <w:r>
              <w:br/>
            </w:r>
            <w:r>
              <w:t xml:space="preserve">Preparation of detailed engineering reports compliant with Turkish Petroleum Law and local environmental regulations. Documentation of engineering decisions for submission to the General Directorate of Mineral Research and Exploration (MTA).</w:t>
            </w:r>
          </w:p>
        </w:tc>
        <w:tc>
          <w:tcPr/>
          <w:p>
            <w:pPr>
              <w:pStyle w:val="Compact"/>
              <w:jc w:val="left"/>
            </w:pPr>
            <w:r>
              <w:t xml:space="preserve">15</w:t>
            </w:r>
          </w:p>
        </w:tc>
        <w:tc>
          <w:tcPr/>
          <w:p>
            <w:pPr>
              <w:pStyle w:val="Compact"/>
              <w:jc w:val="left"/>
            </w:pPr>
            <w:r>
              <w:t xml:space="preserve">2,500.00</w:t>
            </w:r>
          </w:p>
        </w:tc>
        <w:tc>
          <w:tcPr/>
          <w:p>
            <w:pPr>
              <w:pStyle w:val="Compact"/>
              <w:jc w:val="left"/>
            </w:pPr>
            <w:r>
              <w:t xml:space="preserve">37,500.00</w:t>
            </w:r>
          </w:p>
        </w:tc>
      </w:tr>
    </w:tbl>
    <w:p>
      <w:pPr>
        <w:pStyle w:val="BodyText"/>
      </w:pPr>
      <w:r>
        <w:t xml:space="preserve">Subtotal:</w:t>
      </w:r>
      <w:r>
        <w:t xml:space="preserve"> </w:t>
      </w:r>
      <w:r>
        <w:t xml:space="preserve">250,000.00 TRY</w:t>
      </w:r>
    </w:p>
    <w:p>
      <w:pPr>
        <w:pStyle w:val="BodyText"/>
      </w:pPr>
      <w:r>
        <w:t xml:space="preserve">VAT (KDV) 18%:</w:t>
      </w:r>
      <w:r>
        <w:t xml:space="preserve"> </w:t>
      </w:r>
      <w:r>
        <w:t xml:space="preserve">45,000.00 TRY</w:t>
      </w:r>
    </w:p>
    <w:p>
      <w:pPr>
        <w:pStyle w:val="BodyText"/>
      </w:pPr>
      <w:r>
        <w:t xml:space="preserve">Total Due:</w:t>
      </w:r>
      <w:r>
        <w:t xml:space="preserve"> </w:t>
      </w:r>
      <w:r>
        <w:t xml:space="preserve">295,000.00 TRY</w:t>
      </w:r>
    </w:p>
    <w:bookmarkStart w:id="24" w:name="payment-terms-conditions"/>
    <w:p>
      <w:pPr>
        <w:pStyle w:val="Heading3"/>
      </w:pPr>
      <w:r>
        <w:t xml:space="preserve">Payment Terms &amp; Conditions</w:t>
      </w:r>
    </w:p>
    <w:p>
      <w:pPr>
        <w:pStyle w:val="FirstParagraph"/>
      </w:pPr>
      <w:r>
        <w:t xml:space="preserve">Payment is due within 30 days of the invoice date. Please make payments via bank transfer to the account details below. Late payments may incur a penalty interest rate in accordance with Turkish Commercial Code regulations.</w:t>
      </w:r>
    </w:p>
    <w:p>
      <w:pPr>
        <w:pStyle w:val="BodyText"/>
      </w:pPr>
      <w:r>
        <w:rPr>
          <w:bCs/>
          <w:b/>
        </w:rPr>
        <w:t xml:space="preserve">Bank Name:</w:t>
      </w:r>
      <w:r>
        <w:t xml:space="preserve"> </w:t>
      </w:r>
      <w:r>
        <w:t xml:space="preserve">İş Bankası A.Ş.</w:t>
      </w:r>
      <w:r>
        <w:br/>
      </w:r>
      <w:r>
        <w:rPr>
          <w:bCs/>
          <w:b/>
        </w:rPr>
        <w:t xml:space="preserve">Branch:</w:t>
      </w:r>
      <w:r>
        <w:t xml:space="preserve"> </w:t>
      </w:r>
      <w:r>
        <w:t xml:space="preserve">Levent, Istanbul</w:t>
      </w:r>
      <w:r>
        <w:br/>
      </w:r>
      <w:r>
        <w:rPr>
          <w:bCs/>
          <w:b/>
        </w:rPr>
        <w:t xml:space="preserve">Account Name:</w:t>
      </w:r>
      <w:r>
        <w:t xml:space="preserve"> </w:t>
      </w:r>
      <w:r>
        <w:t xml:space="preserve">Bosphorus Energy Solutions Ltd.</w:t>
      </w:r>
      <w:r>
        <w:br/>
      </w:r>
      <w:r>
        <w:rPr>
          <w:bCs/>
          <w:b/>
        </w:rPr>
        <w:t xml:space="preserve">IBAN:</w:t>
      </w:r>
      <w:r>
        <w:t xml:space="preserve"> </w:t>
      </w:r>
      <w:r>
        <w:t xml:space="preserve">TR00 0006 4000 0000 0001 2345 67</w:t>
      </w:r>
      <w:r>
        <w:br/>
      </w:r>
      <w:r>
        <w:rPr>
          <w:bCs/>
          <w:b/>
        </w:rPr>
        <w:t xml:space="preserve">SWIFT/BIC:</w:t>
      </w:r>
      <w:r>
        <w:t xml:space="preserve"> </w:t>
      </w:r>
      <w:r>
        <w:t xml:space="preserve">ISBKTRIS</w:t>
      </w:r>
    </w:p>
    <w:p>
      <w:pPr>
        <w:pStyle w:val="BodyText"/>
      </w:pPr>
      <w:r>
        <w:rPr>
          <w:bCs/>
          <w:b/>
        </w:rPr>
        <w:t xml:space="preserve">Service Scope Note:</w:t>
      </w:r>
      <w:r>
        <w:t xml:space="preserve"> </w:t>
      </w:r>
      <w:r>
        <w:t xml:space="preserve">The services rendered by our Petroleum Engineer team are strictly professional engineering consultations. They do not include physical drilling operations or equipment procurement unless specified in a separate contract. All calculations regarding reservoir volume and recovery estimates are based on the data provided by the client as of the project start date.</w:t>
      </w:r>
    </w:p>
    <w:p>
      <w:pPr>
        <w:pStyle w:val="BodyText"/>
      </w:pPr>
      <w:r>
        <w:rPr>
          <w:bCs/>
          <w:b/>
        </w:rPr>
        <w:t xml:space="preserve">Legal Jurisdiction:</w:t>
      </w:r>
      <w:r>
        <w:t xml:space="preserve"> </w:t>
      </w:r>
      <w:r>
        <w:t xml:space="preserve">This invoice and the services described herein are subject to the laws of the Republic of Turkey. Any disputes arising from this transaction shall be settled in the courts of Istanbul.</w:t>
      </w:r>
    </w:p>
    <w:bookmarkEnd w:id="24"/>
    <w:p>
      <w:pPr>
        <w:pStyle w:val="BodyText"/>
      </w:pPr>
      <w:r>
        <w:rPr>
          <w:bCs/>
          <w:b/>
        </w:rPr>
        <w:t xml:space="preserve">Authorized Signature</w:t>
      </w:r>
    </w:p>
    <w:p>
      <w:pPr>
        <w:pStyle w:val="BodyText"/>
      </w:pPr>
      <w:r>
        <w:t xml:space="preserve">Ahmet Yılmaz</w:t>
      </w:r>
    </w:p>
    <w:p>
      <w:pPr>
        <w:pStyle w:val="BodyText"/>
      </w:pPr>
      <w:r>
        <w:t xml:space="preserve">Chief Petroleum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2026-10-10T06:50:16Z</dcterms:created>
  <dcterms:modified xsi:type="dcterms:W3CDTF">2026-10-10T06:50:16Z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