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adnoc-petrotech-solutions-llc"/>
    <w:p>
      <w:pPr>
        <w:pStyle w:val="Heading1"/>
      </w:pPr>
      <w:r>
        <w:t xml:space="preserve">ADNOC PETROTECH SOLUTIONS LLC</w:t>
      </w:r>
    </w:p>
    <w:p>
      <w:pPr>
        <w:pStyle w:val="FirstParagraph"/>
      </w:pPr>
      <w:r>
        <w:t xml:space="preserve">P.O. Box 12345, Al Reem Island</w:t>
      </w:r>
    </w:p>
    <w:p>
      <w:pPr>
        <w:pStyle w:val="BodyText"/>
      </w:pPr>
      <w:r>
        <w:t xml:space="preserve">Abu Dhabi, United Arab Emirates</w:t>
      </w:r>
    </w:p>
    <w:p>
      <w:pPr>
        <w:pStyle w:val="BodyText"/>
      </w:pPr>
      <w:r>
        <w:t xml:space="preserve">Tel: +971 2 555 0199 | Email: accounts@petrotech.ae</w:t>
      </w:r>
    </w:p>
    <w:p>
      <w:pPr>
        <w:pStyle w:val="BodyText"/>
      </w:pPr>
      <w:r>
        <w:t xml:space="preserve">TRN: 100123456700003</w:t>
      </w:r>
    </w:p>
    <w:bookmarkEnd w:id="20"/>
    <w:bookmarkStart w:id="21" w:name="tax-invoice"/>
    <w:p>
      <w:pPr>
        <w:pStyle w:val="Heading2"/>
      </w:pPr>
      <w:r>
        <w:t xml:space="preserve">TAX INVOICE</w:t>
      </w:r>
    </w:p>
    <w:p>
      <w:pPr>
        <w:pStyle w:val="FirstParagraph"/>
      </w:pPr>
      <w:r>
        <w:t xml:space="preserve">Ref: INV-2023-AD-089</w:t>
      </w:r>
    </w:p>
    <w:bookmarkEnd w:id="21"/>
    <w:bookmarkStart w:id="22" w:name="bill-to"/>
    <w:p>
      <w:pPr>
        <w:pStyle w:val="Heading3"/>
      </w:pPr>
      <w:r>
        <w:t xml:space="preserve">Bill To:</w:t>
      </w:r>
    </w:p>
    <w:p>
      <w:pPr>
        <w:pStyle w:val="FirstParagraph"/>
      </w:pPr>
      <w:r>
        <w:rPr>
          <w:bCs/>
          <w:b/>
        </w:rPr>
        <w:t xml:space="preserve">Global Energy Exploration Co.</w:t>
      </w:r>
    </w:p>
    <w:p>
      <w:pPr>
        <w:pStyle w:val="BodyText"/>
      </w:pPr>
      <w:r>
        <w:t xml:space="preserve">Attn: Procurement Department</w:t>
      </w:r>
    </w:p>
    <w:p>
      <w:pPr>
        <w:pStyle w:val="BodyText"/>
      </w:pPr>
      <w:r>
        <w:t xml:space="preserve">Plot 456, Mussafah Industrial Area</w:t>
      </w:r>
    </w:p>
    <w:p>
      <w:pPr>
        <w:pStyle w:val="BodyText"/>
      </w:pPr>
      <w:r>
        <w:t xml:space="preserve">Abu Dhabi, United Arab Emirates</w:t>
      </w:r>
    </w:p>
    <w:bookmarkEnd w:id="22"/>
    <w:bookmarkStart w:id="23" w:name="invoice-details"/>
    <w:p>
      <w:pPr>
        <w:pStyle w:val="Heading3"/>
      </w:pPr>
      <w:r>
        <w:t xml:space="preserve">Invoice Details:</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w:t>
      </w:r>
      <w:r>
        <w:t xml:space="preserve"> </w:t>
      </w:r>
      <w:r>
        <w:t xml:space="preserve">Offshore Reservoir Optimization Phase II</w:t>
      </w:r>
    </w:p>
    <w:p>
      <w:pPr>
        <w:pStyle w:val="BodyText"/>
      </w:pPr>
      <w:r>
        <w:rPr>
          <w:bCs/>
          <w:b/>
        </w:rPr>
        <w:t xml:space="preserve">Service Period:</w:t>
      </w:r>
      <w:r>
        <w:t xml:space="preserve"> </w:t>
      </w:r>
      <w:r>
        <w:t xml:space="preserve">September 01, 2023 - September 30, 2023</w:t>
      </w:r>
    </w:p>
    <w:bookmarkEnd w:id="23"/>
    <w:p>
      <w:pPr>
        <w:pStyle w:val="BodyText"/>
      </w:pPr>
      <w:r>
        <w:t xml:space="preserve">This document serves as a formal</w:t>
      </w:r>
      <w:r>
        <w:t xml:space="preserve"> </w:t>
      </w:r>
      <w:r>
        <w:rPr>
          <w:bCs/>
          <w:b/>
        </w:rPr>
        <w:t xml:space="preserve">Invoice</w:t>
      </w:r>
      <w:r>
        <w:t xml:space="preserve"> </w:t>
      </w:r>
      <w:r>
        <w:t xml:space="preserve">for specialized technical consulting and engineering services rendered by a certified</w:t>
      </w:r>
      <w:r>
        <w:t xml:space="preserve"> </w:t>
      </w:r>
      <w:r>
        <w:rPr>
          <w:bCs/>
          <w:b/>
        </w:rPr>
        <w:t xml:space="preserve">Petroleum Engineer</w:t>
      </w:r>
      <w:r>
        <w:t xml:space="preserve">. These services were executed in strict accordance with the operational standards and regulatory frameworks governing the oil and gas sector within the</w:t>
      </w:r>
      <w:r>
        <w:t xml:space="preserve"> </w:t>
      </w:r>
      <w:r>
        <w:rPr>
          <w:bCs/>
          <w:b/>
        </w:rPr>
        <w:t xml:space="preserve">United Arab Emirates Abu Dhabi</w:t>
      </w:r>
      <w:r>
        <w:t xml:space="preserve"> </w:t>
      </w:r>
      <w:r>
        <w:t xml:space="preserve">jurisdiction. The scope of work included comprehensive reservoir simulation, production data analysis, and strategic planning for enhanced oil recovery (EOR) techniques tailored to the specific geological conditions of the client's assets in the region.</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(AED)</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1</w:t>
            </w:r>
          </w:p>
        </w:tc>
        <w:tc>
          <w:tcPr/>
          <w:p>
            <w:pPr>
              <w:pStyle w:val="Compact"/>
              <w:jc w:val="left"/>
            </w:pPr>
            <w:r>
              <w:rPr>
                <w:bCs/>
                <w:b/>
              </w:rPr>
              <w:t xml:space="preserve">Reservoir Characterization &amp; Modeling</w:t>
            </w:r>
            <w:r>
              <w:br/>
            </w:r>
            <w:r>
              <w:t xml:space="preserve">Detailed analysis of subsurface data provided by the client. The</w:t>
            </w:r>
            <w:r>
              <w:t xml:space="preserve"> </w:t>
            </w:r>
            <w:r>
              <w:rPr>
                <w:bCs/>
                <w:b/>
              </w:rPr>
              <w:t xml:space="preserve">Petroleum Engineer</w:t>
            </w:r>
            <w:r>
              <w:t xml:space="preserve"> </w:t>
            </w:r>
            <w:r>
              <w:t xml:space="preserve">utilized advanced simulation software to model fluid dynamics within the reservoir. This service is critical for optimizing extraction rates in the</w:t>
            </w:r>
            <w:r>
              <w:t xml:space="preserve"> </w:t>
            </w:r>
            <w:r>
              <w:rPr>
                <w:bCs/>
                <w:b/>
              </w:rPr>
              <w:t xml:space="preserve">United Arab Emirates Abu Dhabi</w:t>
            </w:r>
            <w:r>
              <w:t xml:space="preserve"> </w:t>
            </w:r>
            <w:r>
              <w:t xml:space="preserve">offshore fields.</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c>
          <w:tcPr/>
          <w:p>
            <w:pPr>
              <w:pStyle w:val="Compact"/>
              <w:jc w:val="left"/>
            </w:pPr>
            <w:r>
              <w:t xml:space="preserve">2,400.00</w:t>
            </w:r>
          </w:p>
        </w:tc>
      </w:tr>
      <w:tr>
        <w:tc>
          <w:tcPr/>
          <w:p>
            <w:pPr>
              <w:pStyle w:val="Compact"/>
              <w:jc w:val="left"/>
            </w:pPr>
            <w:r>
              <w:t xml:space="preserve">2</w:t>
            </w:r>
          </w:p>
        </w:tc>
        <w:tc>
          <w:tcPr/>
          <w:p>
            <w:pPr>
              <w:pStyle w:val="Compact"/>
              <w:jc w:val="left"/>
            </w:pPr>
            <w:r>
              <w:rPr>
                <w:bCs/>
                <w:b/>
              </w:rPr>
              <w:t xml:space="preserve">Production Optimization Strategy</w:t>
            </w:r>
            <w:r>
              <w:br/>
            </w:r>
            <w:r>
              <w:t xml:space="preserve">Development of a technical report outlining strategies to mitigate water cut and improve well productivity. This consulting service adheres to the environmental and safety regulations mandated by the Department of Energy in Abu Dhabi.</w:t>
            </w:r>
          </w:p>
        </w:tc>
        <w:tc>
          <w:tcPr/>
          <w:p>
            <w:pPr>
              <w:pStyle w:val="Compact"/>
              <w:jc w:val="left"/>
            </w:pPr>
            <w:r>
              <w:t xml:space="preserve">25</w:t>
            </w:r>
          </w:p>
        </w:tc>
        <w:tc>
          <w:tcPr/>
          <w:p>
            <w:pPr>
              <w:pStyle w:val="Compact"/>
              <w:jc w:val="left"/>
            </w:pPr>
            <w:r>
              <w:t xml:space="preserve">1,200.00</w:t>
            </w:r>
          </w:p>
        </w:tc>
        <w:tc>
          <w:tcPr/>
          <w:p>
            <w:pPr>
              <w:pStyle w:val="Compact"/>
              <w:jc w:val="left"/>
            </w:pPr>
            <w:r>
              <w:t xml:space="preserve">30,000.00</w:t>
            </w:r>
          </w:p>
        </w:tc>
        <w:tc>
          <w:tcPr/>
          <w:p>
            <w:pPr>
              <w:pStyle w:val="Compact"/>
              <w:jc w:val="left"/>
            </w:pPr>
            <w:r>
              <w:t xml:space="preserve">1,500.00</w:t>
            </w:r>
          </w:p>
        </w:tc>
      </w:tr>
      <w:tr>
        <w:tc>
          <w:tcPr/>
          <w:p>
            <w:pPr>
              <w:pStyle w:val="Compact"/>
              <w:jc w:val="left"/>
            </w:pPr>
            <w:r>
              <w:t xml:space="preserve">3</w:t>
            </w:r>
          </w:p>
        </w:tc>
        <w:tc>
          <w:tcPr/>
          <w:p>
            <w:pPr>
              <w:pStyle w:val="Compact"/>
              <w:jc w:val="left"/>
            </w:pPr>
            <w:r>
              <w:rPr>
                <w:bCs/>
                <w:b/>
              </w:rPr>
              <w:t xml:space="preserve">Well Integrity Assessment</w:t>
            </w:r>
            <w:r>
              <w:br/>
            </w:r>
            <w:r>
              <w:t xml:space="preserve">Review of casing and cementing logs to ensure structural integrity. The</w:t>
            </w:r>
            <w:r>
              <w:t xml:space="preserve"> </w:t>
            </w:r>
            <w:r>
              <w:rPr>
                <w:bCs/>
                <w:b/>
              </w:rPr>
              <w:t xml:space="preserve">Petroleum Engineer</w:t>
            </w:r>
            <w:r>
              <w:t xml:space="preserve"> </w:t>
            </w:r>
            <w:r>
              <w:t xml:space="preserve">conducted a risk assessment to prevent potential blowouts or leaks, ensuring compliance with local safety protocols in the</w:t>
            </w:r>
            <w:r>
              <w:t xml:space="preserve"> </w:t>
            </w:r>
            <w:r>
              <w:rPr>
                <w:bCs/>
                <w:b/>
              </w:rPr>
              <w:t xml:space="preserve">United Arab Emirates Abu Dhabi</w:t>
            </w:r>
            <w:r>
              <w:t xml:space="preserve"> </w:t>
            </w:r>
            <w:r>
              <w:t xml:space="preserve">industrial zone.</w:t>
            </w:r>
          </w:p>
        </w:tc>
        <w:tc>
          <w:tcPr/>
          <w:p>
            <w:pPr>
              <w:pStyle w:val="Compact"/>
              <w:jc w:val="left"/>
            </w:pPr>
            <w:r>
              <w:t xml:space="preserve">15</w:t>
            </w:r>
          </w:p>
        </w:tc>
        <w:tc>
          <w:tcPr/>
          <w:p>
            <w:pPr>
              <w:pStyle w:val="Compact"/>
              <w:jc w:val="left"/>
            </w:pPr>
            <w:r>
              <w:t xml:space="preserve">1,200.00</w:t>
            </w:r>
          </w:p>
        </w:tc>
        <w:tc>
          <w:tcPr/>
          <w:p>
            <w:pPr>
              <w:pStyle w:val="Compact"/>
              <w:jc w:val="left"/>
            </w:pPr>
            <w:r>
              <w:t xml:space="preserve">18,000.00</w:t>
            </w:r>
          </w:p>
        </w:tc>
        <w:tc>
          <w:tcPr/>
          <w:p>
            <w:pPr>
              <w:pStyle w:val="Compact"/>
              <w:jc w:val="left"/>
            </w:pPr>
            <w:r>
              <w:t xml:space="preserve">900.00</w:t>
            </w:r>
          </w:p>
        </w:tc>
      </w:tr>
      <w:tr>
        <w:tc>
          <w:tcPr/>
          <w:p>
            <w:pPr>
              <w:pStyle w:val="Compact"/>
              <w:jc w:val="left"/>
            </w:pPr>
            <w:r>
              <w:t xml:space="preserve">4</w:t>
            </w:r>
          </w:p>
        </w:tc>
        <w:tc>
          <w:tcPr/>
          <w:p>
            <w:pPr>
              <w:pStyle w:val="Compact"/>
              <w:jc w:val="left"/>
            </w:pPr>
            <w:r>
              <w:rPr>
                <w:bCs/>
                <w:b/>
              </w:rPr>
              <w:t xml:space="preserve">Technical Reporting &amp; Documentation</w:t>
            </w:r>
            <w:r>
              <w:br/>
            </w:r>
            <w:r>
              <w:t xml:space="preserve">Compilation of all findings into a comprehensive engineering report. This document serves as a formal record of the engineering work performed and is formatted for submission to relevant stakeholders and regulatory bodies in Abu Dhabi.</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12,000.00</w:t>
            </w:r>
          </w:p>
        </w:tc>
        <w:tc>
          <w:tcPr/>
          <w:p>
            <w:pPr>
              <w:pStyle w:val="Compact"/>
              <w:jc w:val="left"/>
            </w:pPr>
            <w:r>
              <w:t xml:space="preserve">600.00</w:t>
            </w:r>
          </w:p>
        </w:tc>
      </w:tr>
    </w:tbl>
    <w:p>
      <w:pPr>
        <w:pStyle w:val="BodyText"/>
      </w:pPr>
      <w:r>
        <w:t xml:space="preserve">Subtotal:</w:t>
      </w:r>
      <w:r>
        <w:t xml:space="preserve"> </w:t>
      </w:r>
      <w:r>
        <w:t xml:space="preserve">108,000.00 AED</w:t>
      </w:r>
    </w:p>
    <w:p>
      <w:pPr>
        <w:pStyle w:val="BodyText"/>
      </w:pPr>
      <w:r>
        <w:t xml:space="preserve">VAT (5%):</w:t>
      </w:r>
      <w:r>
        <w:t xml:space="preserve"> </w:t>
      </w:r>
      <w:r>
        <w:t xml:space="preserve">5,400.00 AED</w:t>
      </w:r>
    </w:p>
    <w:p>
      <w:pPr>
        <w:pStyle w:val="BodyText"/>
      </w:pPr>
      <w:r>
        <w:t xml:space="preserve">TOTAL DUE:</w:t>
      </w:r>
      <w:r>
        <w:t xml:space="preserve"> </w:t>
      </w:r>
      <w:r>
        <w:t xml:space="preserve">113,400.00 AED</w:t>
      </w:r>
    </w:p>
    <w:bookmarkStart w:id="24" w:name="payment-instructions"/>
    <w:p>
      <w:pPr>
        <w:pStyle w:val="Heading3"/>
      </w:pPr>
      <w:r>
        <w:t xml:space="preserve">Payment Instructions</w:t>
      </w:r>
    </w:p>
    <w:p>
      <w:pPr>
        <w:pStyle w:val="FirstParagraph"/>
      </w:pPr>
      <w:r>
        <w:t xml:space="preserve">Please remit payment within 30 days of the</w:t>
      </w:r>
      <w:r>
        <w:t xml:space="preserve"> </w:t>
      </w:r>
      <w:r>
        <w:rPr>
          <w:bCs/>
          <w:b/>
        </w:rPr>
        <w:t xml:space="preserve">Invoice</w:t>
      </w:r>
      <w:r>
        <w:t xml:space="preserve"> </w:t>
      </w:r>
      <w:r>
        <w:t xml:space="preserve">date. Payments should be made in United Arab Emirates Dirhams (AED) via bank transfer to the following account:</w:t>
      </w:r>
    </w:p>
    <w:p>
      <w:pPr>
        <w:pStyle w:val="BodyText"/>
      </w:pPr>
      <w:r>
        <w:rPr>
          <w:bCs/>
          <w:b/>
        </w:rPr>
        <w:t xml:space="preserve">Bank Name:</w:t>
      </w:r>
      <w:r>
        <w:t xml:space="preserve"> </w:t>
      </w:r>
      <w:r>
        <w:t xml:space="preserve">Emirates NBD</w:t>
      </w:r>
      <w:r>
        <w:br/>
      </w:r>
      <w:r>
        <w:rPr>
          <w:bCs/>
          <w:b/>
        </w:rPr>
        <w:t xml:space="preserve">Account Name:</w:t>
      </w:r>
      <w:r>
        <w:t xml:space="preserve"> </w:t>
      </w:r>
      <w:r>
        <w:t xml:space="preserve">ADNOC PETROTECH SOLUTIONS LLC</w:t>
      </w:r>
      <w:r>
        <w:br/>
      </w:r>
      <w:r>
        <w:rPr>
          <w:bCs/>
          <w:b/>
        </w:rPr>
        <w:t xml:space="preserve">IBAN:</w:t>
      </w:r>
      <w:r>
        <w:t xml:space="preserve"> </w:t>
      </w:r>
      <w:r>
        <w:t xml:space="preserve">AE07 0331 2345 6789 0123 456</w:t>
      </w:r>
      <w:r>
        <w:br/>
      </w:r>
      <w:r>
        <w:rPr>
          <w:bCs/>
          <w:b/>
        </w:rPr>
        <w:t xml:space="preserve">SWIFT Code:</w:t>
      </w:r>
      <w:r>
        <w:t xml:space="preserve"> </w:t>
      </w:r>
      <w:r>
        <w:t xml:space="preserve">EBILAEAD</w:t>
      </w:r>
      <w:r>
        <w:br/>
      </w:r>
      <w:r>
        <w:rPr>
          <w:bCs/>
          <w:b/>
        </w:rPr>
        <w:t xml:space="preserve">Branch:</w:t>
      </w:r>
      <w:r>
        <w:t xml:space="preserve"> </w:t>
      </w:r>
      <w:r>
        <w:t xml:space="preserve">Al Maryah Island, Abu Dhabi</w:t>
      </w:r>
    </w:p>
    <w:p>
      <w:pPr>
        <w:pStyle w:val="BodyText"/>
      </w:pPr>
      <w:r>
        <w:t xml:space="preserve">Please reference the</w:t>
      </w:r>
      <w:r>
        <w:t xml:space="preserve"> </w:t>
      </w:r>
      <w:r>
        <w:rPr>
          <w:bCs/>
          <w:b/>
        </w:rPr>
        <w:t xml:space="preserve">Invoice</w:t>
      </w:r>
      <w:r>
        <w:t xml:space="preserve"> </w:t>
      </w:r>
      <w:r>
        <w:t xml:space="preserve">number (INV-2023-AD-089) in the payment description to ensure proper allocation of funds.</w:t>
      </w:r>
    </w:p>
    <w:bookmarkEnd w:id="24"/>
    <w:bookmarkStart w:id="25" w:name="terms-and-conditions"/>
    <w:p>
      <w:pPr>
        <w:pStyle w:val="Heading3"/>
      </w:pPr>
      <w:r>
        <w:t xml:space="preserve">Terms and Conditions</w:t>
      </w:r>
    </w:p>
    <w:p>
      <w:pPr>
        <w:numPr>
          <w:ilvl w:val="0"/>
          <w:numId w:val="1001"/>
        </w:numPr>
        <w:pStyle w:val="Compact"/>
      </w:pPr>
      <w:r>
        <w:rPr>
          <w:bCs/>
          <w:b/>
        </w:rPr>
        <w:t xml:space="preserve">Regulatory Compliance:</w:t>
      </w:r>
      <w:r>
        <w:t xml:space="preserve"> </w:t>
      </w:r>
      <w:r>
        <w:t xml:space="preserve">All services provided by the</w:t>
      </w:r>
      <w:r>
        <w:t xml:space="preserve"> </w:t>
      </w:r>
      <w:r>
        <w:rPr>
          <w:bCs/>
          <w:b/>
        </w:rPr>
        <w:t xml:space="preserve">Petroleum Engineer</w:t>
      </w:r>
      <w:r>
        <w:t xml:space="preserve"> </w:t>
      </w:r>
      <w:r>
        <w:t xml:space="preserve">are conducted in full compliance with the laws and regulations of the</w:t>
      </w:r>
      <w:r>
        <w:t xml:space="preserve"> </w:t>
      </w:r>
      <w:r>
        <w:rPr>
          <w:bCs/>
          <w:b/>
        </w:rPr>
        <w:t xml:space="preserve">United Arab Emirates Abu Dhabi</w:t>
      </w:r>
      <w:r>
        <w:t xml:space="preserve">, including those set forth by the Federal Tax Authority (FTA) and the Department of Energy.</w:t>
      </w:r>
    </w:p>
    <w:p>
      <w:pPr>
        <w:numPr>
          <w:ilvl w:val="0"/>
          <w:numId w:val="1001"/>
        </w:numPr>
        <w:pStyle w:val="Compact"/>
      </w:pPr>
      <w:r>
        <w:rPr>
          <w:bCs/>
          <w:b/>
        </w:rPr>
        <w:t xml:space="preserve">VAT Compliance:</w:t>
      </w:r>
      <w:r>
        <w:t xml:space="preserve"> </w:t>
      </w:r>
      <w:r>
        <w:t xml:space="preserve">This</w:t>
      </w:r>
      <w:r>
        <w:t xml:space="preserve"> </w:t>
      </w:r>
      <w:r>
        <w:rPr>
          <w:bCs/>
          <w:b/>
        </w:rPr>
        <w:t xml:space="preserve">Invoice</w:t>
      </w:r>
      <w:r>
        <w:t xml:space="preserve"> </w:t>
      </w:r>
      <w:r>
        <w:t xml:space="preserve">includes Value Added Tax (VAT) at the standard rate of 5% as required by UAE Federal Decree-Law No. (8) of 2017 on Value Added Tax. The Tax Registration Number (TRN) is provided in the header for verification.</w:t>
      </w:r>
    </w:p>
    <w:p>
      <w:pPr>
        <w:numPr>
          <w:ilvl w:val="0"/>
          <w:numId w:val="1001"/>
        </w:numPr>
        <w:pStyle w:val="Compact"/>
      </w:pPr>
      <w:r>
        <w:rPr>
          <w:bCs/>
          <w:b/>
        </w:rPr>
        <w:t xml:space="preserve">Payment Terms:</w:t>
      </w:r>
      <w:r>
        <w:t xml:space="preserve"> </w:t>
      </w:r>
      <w:r>
        <w:t xml:space="preserve">Payment is due within 30 days of the invoice date. Late payments may incur a penalty interest rate of 1.5% per month on the outstanding balance, in accordance with local commercial laws.</w:t>
      </w:r>
    </w:p>
    <w:p>
      <w:pPr>
        <w:numPr>
          <w:ilvl w:val="0"/>
          <w:numId w:val="1001"/>
        </w:numPr>
        <w:pStyle w:val="Compact"/>
      </w:pPr>
      <w:r>
        <w:rPr>
          <w:bCs/>
          <w:b/>
        </w:rPr>
        <w:t xml:space="preserve">Confidentiality:</w:t>
      </w:r>
      <w:r>
        <w:t xml:space="preserve"> </w:t>
      </w:r>
      <w:r>
        <w:t xml:space="preserve">All data, reports, and technical information exchanged during the course of this engagement are considered confidential. The</w:t>
      </w:r>
      <w:r>
        <w:t xml:space="preserve"> </w:t>
      </w:r>
      <w:r>
        <w:rPr>
          <w:bCs/>
          <w:b/>
        </w:rPr>
        <w:t xml:space="preserve">Petroleum Engineer</w:t>
      </w:r>
      <w:r>
        <w:t xml:space="preserve"> </w:t>
      </w:r>
      <w:r>
        <w:t xml:space="preserve">agrees to maintain strict confidentiality regarding the client's proprietary reservoir data and operational strategies within the</w:t>
      </w:r>
      <w:r>
        <w:t xml:space="preserve"> </w:t>
      </w:r>
      <w:r>
        <w:rPr>
          <w:bCs/>
          <w:b/>
        </w:rPr>
        <w:t xml:space="preserve">United Arab Emirates Abu Dhabi</w:t>
      </w:r>
      <w:r>
        <w:t xml:space="preserve"> </w:t>
      </w:r>
      <w:r>
        <w:t xml:space="preserve">region.</w:t>
      </w:r>
    </w:p>
    <w:p>
      <w:pPr>
        <w:numPr>
          <w:ilvl w:val="0"/>
          <w:numId w:val="1001"/>
        </w:numPr>
        <w:pStyle w:val="Compact"/>
      </w:pPr>
      <w:r>
        <w:rPr>
          <w:bCs/>
          <w:b/>
        </w:rPr>
        <w:t xml:space="preserve">Dispute Resolution:</w:t>
      </w:r>
      <w:r>
        <w:t xml:space="preserve"> </w:t>
      </w:r>
      <w:r>
        <w:t xml:space="preserve">Any disputes arising from this</w:t>
      </w:r>
      <w:r>
        <w:t xml:space="preserve"> </w:t>
      </w:r>
      <w:r>
        <w:rPr>
          <w:bCs/>
          <w:b/>
        </w:rPr>
        <w:t xml:space="preserve">Invoice</w:t>
      </w:r>
      <w:r>
        <w:t xml:space="preserve"> </w:t>
      </w:r>
      <w:r>
        <w:t xml:space="preserve">or the services rendered shall be subject to the exclusive jurisdiction of the courts of Abu Dhabi, United Arab Emirates.</w:t>
      </w:r>
    </w:p>
    <w:bookmarkEnd w:id="25"/>
    <w:p>
      <w:pPr>
        <w:pStyle w:val="FirstParagraph"/>
      </w:pPr>
      <w:r>
        <w:t xml:space="preserve">Thank you for your business. We appreciate the opportunity to provide expert</w:t>
      </w:r>
      <w:r>
        <w:t xml:space="preserve"> </w:t>
      </w:r>
      <w:r>
        <w:rPr>
          <w:bCs/>
          <w:b/>
        </w:rPr>
        <w:t xml:space="preserve">Petroleum Engineer</w:t>
      </w:r>
      <w:r>
        <w:t xml:space="preserve"> </w:t>
      </w:r>
      <w:r>
        <w:t xml:space="preserve">services to your organization in the</w:t>
      </w:r>
      <w:r>
        <w:t xml:space="preserve"> </w:t>
      </w:r>
      <w:r>
        <w:rPr>
          <w:bCs/>
          <w:b/>
        </w:rPr>
        <w:t xml:space="preserve">United Arab Emirates Abu Dhabi</w:t>
      </w:r>
      <w:r>
        <w:t xml:space="preserve">.</w:t>
      </w:r>
    </w:p>
    <w:p>
      <w:pPr>
        <w:pStyle w:val="BodyText"/>
      </w:pPr>
      <w:r>
        <w:t xml:space="preserve">This is a computer-generated</w:t>
      </w:r>
      <w:r>
        <w:t xml:space="preserve"> </w:t>
      </w:r>
      <w:r>
        <w:rPr>
          <w:bCs/>
          <w:b/>
        </w:rPr>
        <w:t xml:space="preserve">Invoice</w:t>
      </w:r>
      <w:r>
        <w:t xml:space="preserve"> </w:t>
      </w:r>
      <w:r>
        <w:t xml:space="preserve">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2026-10-10T08:08:27Z</dcterms:created>
  <dcterms:modified xsi:type="dcterms:W3CDTF">2026-10-10T08:08:27Z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