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Petroleum</w:t>
      </w:r>
      <w:r>
        <w:t xml:space="preserve"> </w:t>
      </w:r>
      <w:r>
        <w:t xml:space="preserve">Engineering</w:t>
      </w:r>
      <w:r>
        <w:t xml:space="preserve"> </w:t>
      </w:r>
      <w:r>
        <w:t xml:space="preserve">Services</w:t>
      </w:r>
    </w:p>
    <w:bookmarkStart w:id="20" w:name="apex-petroleum-solutions"/>
    <w:p>
      <w:pPr>
        <w:pStyle w:val="Heading1"/>
      </w:pPr>
      <w:r>
        <w:t xml:space="preserve">Apex Petroleum Solutions</w:t>
      </w:r>
    </w:p>
    <w:p>
      <w:pPr>
        <w:pStyle w:val="FirstParagraph"/>
      </w:pPr>
      <w:r>
        <w:t xml:space="preserve">1200 West Olympic Boulevard, Suite 400</w:t>
      </w:r>
    </w:p>
    <w:p>
      <w:pPr>
        <w:pStyle w:val="BodyText"/>
      </w:pPr>
      <w:r>
        <w:t xml:space="preserve">Los Angeles, CA 90015, United States</w:t>
      </w:r>
    </w:p>
    <w:p>
      <w:pPr>
        <w:pStyle w:val="BodyText"/>
      </w:pPr>
      <w:r>
        <w:t xml:space="preserve">Tel: (213) 555-0198 | Email: billing@apexpetroleum.com</w:t>
      </w:r>
    </w:p>
    <w:p>
      <w:pPr>
        <w:pStyle w:val="BodyText"/>
      </w:pPr>
      <w:r>
        <w:t xml:space="preserve">State Contractor License: #PE-998877</w:t>
      </w:r>
    </w:p>
    <w:bookmarkEnd w:id="20"/>
    <w:bookmarkStart w:id="21" w:name="invoice"/>
    <w:p>
      <w:pPr>
        <w:pStyle w:val="Heading2"/>
      </w:pPr>
      <w:r>
        <w:t xml:space="preserve">INVOICE</w:t>
      </w:r>
    </w:p>
    <w:p>
      <w:pPr>
        <w:pStyle w:val="FirstParagraph"/>
      </w:pPr>
      <w:r>
        <w:t xml:space="preserve">Invoice #: INV-2023-10-884</w:t>
      </w:r>
    </w:p>
    <w:p>
      <w:pPr>
        <w:pStyle w:val="BodyText"/>
      </w:pPr>
      <w:r>
        <w:t xml:space="preserve">Date: October 24, 2023</w:t>
      </w:r>
    </w:p>
    <w:p>
      <w:pPr>
        <w:pStyle w:val="BodyText"/>
      </w:pPr>
      <w:r>
        <w:t xml:space="preserve">Due Date: November 23, 2023</w:t>
      </w:r>
    </w:p>
    <w:p>
      <w:pPr>
        <w:pStyle w:val="BodyText"/>
      </w:pPr>
      <w:r>
        <w:t xml:space="preserve">PO Number: LA-RES-2023-004</w:t>
      </w:r>
    </w:p>
    <w:bookmarkEnd w:id="21"/>
    <w:bookmarkStart w:id="22" w:name="bill-to"/>
    <w:p>
      <w:pPr>
        <w:pStyle w:val="Heading3"/>
      </w:pPr>
      <w:r>
        <w:t xml:space="preserve">Bill To:</w:t>
      </w:r>
    </w:p>
    <w:p>
      <w:pPr>
        <w:pStyle w:val="FirstParagraph"/>
      </w:pPr>
      <w:r>
        <w:rPr>
          <w:bCs/>
          <w:b/>
        </w:rPr>
        <w:t xml:space="preserve">Western Pacific Energy Corp.</w:t>
      </w:r>
    </w:p>
    <w:p>
      <w:pPr>
        <w:pStyle w:val="BodyText"/>
      </w:pPr>
      <w:r>
        <w:t xml:space="preserve">Attn: Procurement Department</w:t>
      </w:r>
    </w:p>
    <w:p>
      <w:pPr>
        <w:pStyle w:val="BodyText"/>
      </w:pPr>
      <w:r>
        <w:t xml:space="preserve">555 Flower Street</w:t>
      </w:r>
    </w:p>
    <w:p>
      <w:pPr>
        <w:pStyle w:val="BodyText"/>
      </w:pPr>
      <w:r>
        <w:t xml:space="preserve">Downtown Los Angeles, CA 90071</w:t>
      </w:r>
    </w:p>
    <w:p>
      <w:pPr>
        <w:pStyle w:val="BodyText"/>
      </w:pPr>
      <w:r>
        <w:t xml:space="preserve">United States</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Subsurface Reservoir Optimization</w:t>
      </w:r>
    </w:p>
    <w:p>
      <w:pPr>
        <w:pStyle w:val="BodyText"/>
      </w:pPr>
      <w:r>
        <w:rPr>
          <w:bCs/>
          <w:b/>
        </w:rPr>
        <w:t xml:space="preserve">Location:</w:t>
      </w:r>
      <w:r>
        <w:t xml:space="preserve"> </w:t>
      </w:r>
      <w:r>
        <w:t xml:space="preserve">Kern River Field, California</w:t>
      </w:r>
    </w:p>
    <w:p>
      <w:pPr>
        <w:pStyle w:val="BodyText"/>
      </w:pPr>
      <w:r>
        <w:rPr>
          <w:bCs/>
          <w:b/>
        </w:rPr>
        <w:t xml:space="preserve">Service Period:</w:t>
      </w:r>
      <w:r>
        <w:t xml:space="preserve"> </w:t>
      </w:r>
      <w:r>
        <w:t xml:space="preserve">Sept 01, 2023 - Oct 24, 2023</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rPr>
                <w:bCs/>
                <w:b/>
              </w:rPr>
              <w:t xml:space="preserve">Reservoir Simulation and Modeling</w:t>
            </w:r>
            <w:r>
              <w:br/>
            </w:r>
            <w:r>
              <w:t xml:space="preserve">Comprehensive analysis of reservoir dynamics utilizing advanced numerical simulation software. This service includes the calibration of historical production data to predict future performance under various extraction scenarios. Conducted by a Senior Petroleum Engineer specializing in heavy oil recovery techniques relevant to the Los Angeles Basin geology.</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Well Completion Design and Optimization</w:t>
            </w:r>
            <w:r>
              <w:br/>
            </w:r>
            <w:r>
              <w:t xml:space="preserve">Engineering design for the completion of three new vertical wells. Includes selection of casing strings, cementing programs, and perforation strategies to maximize inflow performance ratio (IPR). Adherence to all California Department of Conservation regulations and local Los Angeles County environmental standards.</w:t>
            </w:r>
          </w:p>
        </w:tc>
        <w:tc>
          <w:tcPr/>
          <w:p>
            <w:pPr>
              <w:pStyle w:val="Compact"/>
              <w:jc w:val="left"/>
            </w:pPr>
            <w:r>
              <w:t xml:space="preserve">25.0</w:t>
            </w:r>
          </w:p>
        </w:tc>
        <w:tc>
          <w:tcPr/>
          <w:p>
            <w:pPr>
              <w:pStyle w:val="Compact"/>
              <w:jc w:val="left"/>
            </w:pPr>
            <w:r>
              <w:t xml:space="preserve">250.00</w:t>
            </w:r>
          </w:p>
        </w:tc>
        <w:tc>
          <w:tcPr/>
          <w:p>
            <w:pPr>
              <w:pStyle w:val="Compact"/>
              <w:jc w:val="left"/>
            </w:pPr>
            <w:r>
              <w:t xml:space="preserve">6,250.00</w:t>
            </w:r>
          </w:p>
        </w:tc>
      </w:tr>
      <w:tr>
        <w:tc>
          <w:tcPr/>
          <w:p>
            <w:pPr>
              <w:pStyle w:val="Compact"/>
              <w:jc w:val="left"/>
            </w:pPr>
            <w:r>
              <w:t xml:space="preserve">3</w:t>
            </w:r>
          </w:p>
        </w:tc>
        <w:tc>
          <w:tcPr/>
          <w:p>
            <w:pPr>
              <w:pStyle w:val="Compact"/>
              <w:jc w:val="left"/>
            </w:pPr>
            <w:r>
              <w:rPr>
                <w:bCs/>
                <w:b/>
              </w:rPr>
              <w:t xml:space="preserve">Production Data Analysis and Reporting</w:t>
            </w:r>
            <w:r>
              <w:br/>
            </w:r>
            <w:r>
              <w:t xml:space="preserve">Detailed review of daily production logs, pressure transient analysis, and fluid property characterization. The Petroleum Engineer has prepared a technical report identifying bottlenecks in current production rates and recommending artificial lift system upgrades.</w:t>
            </w:r>
          </w:p>
        </w:tc>
        <w:tc>
          <w:tcPr/>
          <w:p>
            <w:pPr>
              <w:pStyle w:val="Compact"/>
              <w:jc w:val="left"/>
            </w:pPr>
            <w:r>
              <w:t xml:space="preserve">15.0</w:t>
            </w:r>
          </w:p>
        </w:tc>
        <w:tc>
          <w:tcPr/>
          <w:p>
            <w:pPr>
              <w:pStyle w:val="Compact"/>
              <w:jc w:val="left"/>
            </w:pPr>
            <w:r>
              <w:t xml:space="preserve">250.00</w:t>
            </w:r>
          </w:p>
        </w:tc>
        <w:tc>
          <w:tcPr/>
          <w:p>
            <w:pPr>
              <w:pStyle w:val="Compact"/>
              <w:jc w:val="left"/>
            </w:pPr>
            <w:r>
              <w:t xml:space="preserve">3,750.00</w:t>
            </w:r>
          </w:p>
        </w:tc>
      </w:tr>
      <w:tr>
        <w:tc>
          <w:tcPr/>
          <w:p>
            <w:pPr>
              <w:pStyle w:val="Compact"/>
              <w:jc w:val="left"/>
            </w:pPr>
            <w:r>
              <w:t xml:space="preserve">4</w:t>
            </w:r>
          </w:p>
        </w:tc>
        <w:tc>
          <w:tcPr/>
          <w:p>
            <w:pPr>
              <w:pStyle w:val="Compact"/>
              <w:jc w:val="left"/>
            </w:pPr>
            <w:r>
              <w:rPr>
                <w:bCs/>
                <w:b/>
              </w:rPr>
              <w:t xml:space="preserve">Site Consultation and Safety Compliance Audit</w:t>
            </w:r>
            <w:r>
              <w:br/>
            </w:r>
            <w:r>
              <w:t xml:space="preserve">On-site engineering consultation at the Kern River facility. Review of operational safety protocols, blowout preventer (BOP) maintenance records, and spill prevention plans. Ensuring full compliance with United States federal OSHA standards and California-specific hazardous materials handling requirements.</w:t>
            </w:r>
          </w:p>
        </w:tc>
        <w:tc>
          <w:tcPr/>
          <w:p>
            <w:pPr>
              <w:pStyle w:val="Compact"/>
              <w:jc w:val="left"/>
            </w:pPr>
            <w:r>
              <w:t xml:space="preserve">8.0</w:t>
            </w:r>
          </w:p>
        </w:tc>
        <w:tc>
          <w:tcPr/>
          <w:p>
            <w:pPr>
              <w:pStyle w:val="Compact"/>
              <w:jc w:val="left"/>
            </w:pPr>
            <w:r>
              <w:t xml:space="preserve">275.00</w:t>
            </w:r>
          </w:p>
        </w:tc>
        <w:tc>
          <w:tcPr/>
          <w:p>
            <w:pPr>
              <w:pStyle w:val="Compact"/>
              <w:jc w:val="left"/>
            </w:pPr>
            <w:r>
              <w:t xml:space="preserve">2,200.00</w:t>
            </w:r>
          </w:p>
        </w:tc>
      </w:tr>
      <w:tr>
        <w:tc>
          <w:tcPr/>
          <w:p>
            <w:pPr>
              <w:pStyle w:val="Compact"/>
              <w:jc w:val="left"/>
            </w:pPr>
            <w:r>
              <w:t xml:space="preserve">5</w:t>
            </w:r>
          </w:p>
        </w:tc>
        <w:tc>
          <w:tcPr/>
          <w:p>
            <w:pPr>
              <w:pStyle w:val="Compact"/>
              <w:jc w:val="left"/>
            </w:pPr>
            <w:r>
              <w:rPr>
                <w:bCs/>
                <w:b/>
              </w:rPr>
              <w:t xml:space="preserve">Enhanced Oil Recovery (EOR) Feasibility Study</w:t>
            </w:r>
            <w:r>
              <w:br/>
            </w:r>
            <w:r>
              <w:t xml:space="preserve">Preliminary assessment for the implementation of steam-assisted gravity drainage (SAGD) techniques. This high-level engineering study evaluates the economic viability and technical requirements for increasing recovery factors in mature fields within the Los Angeles region.</w:t>
            </w:r>
          </w:p>
        </w:tc>
        <w:tc>
          <w:tcPr/>
          <w:p>
            <w:pPr>
              <w:pStyle w:val="Compact"/>
              <w:jc w:val="left"/>
            </w:pPr>
            <w:r>
              <w:t xml:space="preserve">1</w:t>
            </w:r>
          </w:p>
        </w:tc>
        <w:tc>
          <w:tcPr/>
          <w:p>
            <w:pPr>
              <w:pStyle w:val="Compact"/>
              <w:jc w:val="left"/>
            </w:pPr>
            <w:r>
              <w:t xml:space="preserve">5,000.00</w:t>
            </w:r>
          </w:p>
        </w:tc>
        <w:tc>
          <w:tcPr/>
          <w:p>
            <w:pPr>
              <w:pStyle w:val="Compact"/>
              <w:jc w:val="left"/>
            </w:pPr>
            <w:r>
              <w:t xml:space="preserve">5,000.00</w:t>
            </w:r>
          </w:p>
        </w:tc>
      </w:tr>
    </w:tbl>
    <w:p>
      <w:pPr>
        <w:pStyle w:val="BodyText"/>
      </w:pPr>
      <w:r>
        <w:t xml:space="preserve">Subtotal:</w:t>
      </w:r>
      <w:r>
        <w:t xml:space="preserve"> </w:t>
      </w:r>
      <w:r>
        <w:t xml:space="preserve">$27,200.00</w:t>
      </w:r>
    </w:p>
    <w:p>
      <w:pPr>
        <w:pStyle w:val="BodyText"/>
      </w:pPr>
      <w:r>
        <w:t xml:space="preserve">California State Sales Tax (8.75%):</w:t>
      </w:r>
      <w:r>
        <w:t xml:space="preserve"> </w:t>
      </w:r>
      <w:r>
        <w:t xml:space="preserve">$2,380.00</w:t>
      </w:r>
    </w:p>
    <w:p>
      <w:pPr>
        <w:pStyle w:val="BodyText"/>
      </w:pPr>
      <w:r>
        <w:t xml:space="preserve">Local Los Angeles Metro Tax (1.25%):</w:t>
      </w:r>
      <w:r>
        <w:t xml:space="preserve"> </w:t>
      </w:r>
      <w:r>
        <w:t xml:space="preserve">$340.00</w:t>
      </w:r>
    </w:p>
    <w:p>
      <w:pPr>
        <w:pStyle w:val="BodyText"/>
      </w:pPr>
      <w:r>
        <w:t xml:space="preserve">TOTAL DUE:</w:t>
      </w:r>
      <w:r>
        <w:t xml:space="preserve"> </w:t>
      </w:r>
      <w:r>
        <w:t xml:space="preserve">$29,920.00</w:t>
      </w:r>
    </w:p>
    <w:bookmarkStart w:id="24" w:name="terms-and-conditions-of-service"/>
    <w:p>
      <w:pPr>
        <w:pStyle w:val="Heading4"/>
      </w:pPr>
      <w:r>
        <w:t xml:space="preserve">Terms and Conditions of Service</w:t>
      </w:r>
    </w:p>
    <w:p>
      <w:pPr>
        <w:numPr>
          <w:ilvl w:val="0"/>
          <w:numId w:val="1001"/>
        </w:numPr>
        <w:pStyle w:val="Compact"/>
      </w:pPr>
      <w:r>
        <w:rPr>
          <w:bCs/>
          <w:b/>
        </w:rPr>
        <w:t xml:space="preserve">Payment Terms:</w:t>
      </w:r>
      <w:r>
        <w:t xml:space="preserve"> </w:t>
      </w:r>
      <w:r>
        <w:t xml:space="preserve">Payment is due within 30 days of the invoice date. Late payments will incur a finance charge of 1.5% per month on the outstanding balance, in accordance with California Commercial Code.</w:t>
      </w:r>
    </w:p>
    <w:p>
      <w:pPr>
        <w:numPr>
          <w:ilvl w:val="0"/>
          <w:numId w:val="1001"/>
        </w:numPr>
        <w:pStyle w:val="Compact"/>
      </w:pPr>
      <w:r>
        <w:rPr>
          <w:bCs/>
          <w:b/>
        </w:rPr>
        <w:t xml:space="preserve">Scope of Work:</w:t>
      </w:r>
      <w:r>
        <w:t xml:space="preserve"> </w:t>
      </w:r>
      <w:r>
        <w:t xml:space="preserve">All services rendered by the Petroleum Engineer are based on the data provided by Western Pacific Energy Corp. Apex Petroleum Solutions assumes no liability for errors resulting from inaccurate client-provided geological or production data.</w:t>
      </w:r>
    </w:p>
    <w:p>
      <w:pPr>
        <w:numPr>
          <w:ilvl w:val="0"/>
          <w:numId w:val="1001"/>
        </w:numPr>
        <w:pStyle w:val="Compact"/>
      </w:pPr>
      <w:r>
        <w:rPr>
          <w:bCs/>
          <w:b/>
        </w:rPr>
        <w:t xml:space="preserve">Regulatory Compliance:</w:t>
      </w:r>
      <w:r>
        <w:t xml:space="preserve"> </w:t>
      </w:r>
      <w:r>
        <w:t xml:space="preserve">All engineering designs and recommendations comply with the regulations set forth by the United States Department of Energy, the Environmental Protection Agency (EPA), and the California State Lands Commission.</w:t>
      </w:r>
    </w:p>
    <w:p>
      <w:pPr>
        <w:numPr>
          <w:ilvl w:val="0"/>
          <w:numId w:val="1001"/>
        </w:numPr>
        <w:pStyle w:val="Compact"/>
      </w:pPr>
      <w:r>
        <w:rPr>
          <w:bCs/>
          <w:b/>
        </w:rPr>
        <w:t xml:space="preserve">Intellectual Property:</w:t>
      </w:r>
      <w:r>
        <w:t xml:space="preserve"> </w:t>
      </w:r>
      <w:r>
        <w:t xml:space="preserve">Upon full payment of this Invoice, all reports, models, and engineering designs created specifically for this project become the property of the client. General methodologies and proprietary software tools remain the intellectual property of Apex Petroleum Solutions.</w:t>
      </w:r>
    </w:p>
    <w:p>
      <w:pPr>
        <w:numPr>
          <w:ilvl w:val="0"/>
          <w:numId w:val="1001"/>
        </w:numPr>
        <w:pStyle w:val="Compact"/>
      </w:pPr>
      <w:r>
        <w:rPr>
          <w:bCs/>
          <w:b/>
        </w:rPr>
        <w:t xml:space="preserve">Dispute Resolution:</w:t>
      </w:r>
      <w:r>
        <w:t xml:space="preserve"> </w:t>
      </w:r>
      <w:r>
        <w:t xml:space="preserve">Any disputes arising from this Invoice or the services provided shall be resolved through binding arbitration in Los Angeles, California, under the rules of the American Arbitration Association.</w:t>
      </w:r>
    </w:p>
    <w:bookmarkEnd w:id="24"/>
    <w:bookmarkStart w:id="25" w:name="payment-instructions"/>
    <w:p>
      <w:pPr>
        <w:pStyle w:val="Heading4"/>
      </w:pPr>
      <w:r>
        <w:t xml:space="preserve">Payment Instructions</w:t>
      </w:r>
    </w:p>
    <w:p>
      <w:pPr>
        <w:pStyle w:val="FirstParagraph"/>
      </w:pPr>
      <w:r>
        <w:t xml:space="preserve">Please remit payment via Wire Transfer or Check to:</w:t>
      </w:r>
    </w:p>
    <w:p>
      <w:pPr>
        <w:pStyle w:val="BodyText"/>
      </w:pPr>
      <w:r>
        <w:rPr>
          <w:bCs/>
          <w:b/>
        </w:rPr>
        <w:t xml:space="preserve">Bank Name:</w:t>
      </w:r>
      <w:r>
        <w:t xml:space="preserve"> </w:t>
      </w:r>
      <w:r>
        <w:t xml:space="preserve">First Republic Bank, Los Angeles Branch</w:t>
      </w:r>
    </w:p>
    <w:p>
      <w:pPr>
        <w:pStyle w:val="BodyText"/>
      </w:pPr>
      <w:r>
        <w:rPr>
          <w:bCs/>
          <w:b/>
        </w:rPr>
        <w:t xml:space="preserve">Account Name:</w:t>
      </w:r>
      <w:r>
        <w:t xml:space="preserve"> </w:t>
      </w:r>
      <w:r>
        <w:t xml:space="preserve">Apex Petroleum Solutions LLC</w:t>
      </w:r>
    </w:p>
    <w:p>
      <w:pPr>
        <w:pStyle w:val="BodyText"/>
      </w:pPr>
      <w:r>
        <w:rPr>
          <w:bCs/>
          <w:b/>
        </w:rPr>
        <w:t xml:space="preserve">Routing Number:</w:t>
      </w:r>
      <w:r>
        <w:t xml:space="preserve"> </w:t>
      </w:r>
      <w:r>
        <w:t xml:space="preserve">121000248</w:t>
      </w:r>
    </w:p>
    <w:p>
      <w:pPr>
        <w:pStyle w:val="BodyText"/>
      </w:pPr>
      <w:r>
        <w:rPr>
          <w:bCs/>
          <w:b/>
        </w:rPr>
        <w:t xml:space="preserve">Account Number:</w:t>
      </w:r>
      <w:r>
        <w:t xml:space="preserve"> </w:t>
      </w:r>
      <w:r>
        <w:t xml:space="preserve">9876543210</w:t>
      </w:r>
    </w:p>
    <w:p>
      <w:pPr>
        <w:pStyle w:val="BodyText"/>
      </w:pPr>
      <w:r>
        <w:rPr>
          <w:bCs/>
          <w:b/>
        </w:rPr>
        <w:t xml:space="preserve">SWIFT Code:</w:t>
      </w:r>
      <w:r>
        <w:t xml:space="preserve"> </w:t>
      </w:r>
      <w:r>
        <w:t xml:space="preserve">FRBAUS33</w:t>
      </w:r>
    </w:p>
    <w:p>
      <w:pPr>
        <w:pStyle w:val="BodyText"/>
      </w:pPr>
      <w:r>
        <w:t xml:space="preserve">Please reference Invoice #INV-2023-10-884 on all payments.</w:t>
      </w:r>
    </w:p>
    <w:bookmarkEnd w:id="25"/>
    <w:p>
      <w:pPr>
        <w:pStyle w:val="BodyText"/>
      </w:pPr>
      <w:r>
        <w:t xml:space="preserve">Authorized Signature (Provider)</w:t>
      </w:r>
      <w:r>
        <w:br/>
      </w:r>
      <w:r>
        <w:rPr>
          <w:bCs/>
          <w:b/>
        </w:rPr>
        <w:t xml:space="preserve">Dr. James Sterling, P.E.</w:t>
      </w:r>
      <w:r>
        <w:br/>
      </w:r>
      <w:r>
        <w:t xml:space="preserve">Lead Petroleum Engineer</w:t>
      </w:r>
      <w:r>
        <w:br/>
      </w:r>
      <w:r>
        <w:t xml:space="preserve">Apex Petroleum Solutions</w:t>
      </w:r>
    </w:p>
    <w:p>
      <w:pPr>
        <w:pStyle w:val="BodyText"/>
      </w:pPr>
      <w:r>
        <w:t xml:space="preserve">Authorized Signature (Client)</w:t>
      </w:r>
      <w:r>
        <w:br/>
      </w:r>
      <w:r>
        <w:rPr>
          <w:bCs/>
          <w:b/>
        </w:rPr>
        <w:t xml:space="preserve">__________________________</w:t>
      </w:r>
      <w:r>
        <w:br/>
      </w:r>
      <w:r>
        <w:t xml:space="preserve">Western Pacific Energy Corp.</w:t>
      </w:r>
      <w:r>
        <w:br/>
      </w:r>
      <w:r>
        <w:t xml:space="preserve">Date: _______________</w:t>
      </w:r>
    </w:p>
    <w:p>
      <w:pPr>
        <w:pStyle w:val="BodyText"/>
      </w:pPr>
      <w:r>
        <w:t xml:space="preserve">Apex Petroleum Solutions LLC | Registered in the State of California | United States</w:t>
      </w:r>
    </w:p>
    <w:p>
      <w:pPr>
        <w:pStyle w:val="BodyText"/>
      </w:pPr>
      <w:r>
        <w:t xml:space="preserve">Thank you for your business. We look forward to continuing our partnership in optimizing energy resources in Los Angeles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Petroleum Engineering Services</dc:title>
  <dc:creator/>
  <dc:language>en</dc:language>
  <cp:keywords/>
  <dcterms:created xsi:type="dcterms:W3CDTF">2026-10-10T07:03:26Z</dcterms:created>
  <dcterms:modified xsi:type="dcterms:W3CDTF">2026-10-10T07:03:26Z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