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clinical-pharmacy-services"/>
    <w:p>
      <w:pPr>
        <w:pStyle w:val="Heading1"/>
      </w:pPr>
      <w:r>
        <w:t xml:space="preserve">Melbourne Clinical Pharmacy Services</w:t>
      </w:r>
    </w:p>
    <w:p>
      <w:pPr>
        <w:pStyle w:val="FirstParagraph"/>
      </w:pPr>
      <w:r>
        <w:rPr>
          <w:bCs/>
          <w:b/>
        </w:rPr>
        <w:t xml:space="preserve">Lead Pharmacist:</w:t>
      </w:r>
      <w:r>
        <w:t xml:space="preserve"> </w:t>
      </w:r>
      <w:r>
        <w:t xml:space="preserve">Dr. Sarah Mitchell, BPharm, GradDipClinPharm</w:t>
      </w:r>
    </w:p>
    <w:p>
      <w:pPr>
        <w:pStyle w:val="BodyText"/>
      </w:pPr>
      <w:r>
        <w:t xml:space="preserve">Level 3, 120 Collins Street</w:t>
      </w:r>
    </w:p>
    <w:p>
      <w:pPr>
        <w:pStyle w:val="BodyText"/>
      </w:pPr>
      <w:r>
        <w:t xml:space="preserve">Melbourne VIC 3000, Australia</w:t>
      </w:r>
    </w:p>
    <w:p>
      <w:pPr>
        <w:pStyle w:val="BodyText"/>
      </w:pPr>
      <w:r>
        <w:t xml:space="preserve">Phone: +61 3 9000 1234</w:t>
      </w:r>
    </w:p>
    <w:p>
      <w:pPr>
        <w:pStyle w:val="BodyText"/>
      </w:pPr>
      <w:r>
        <w:t xml:space="preserve">Email: billing@melbournecpharmacy.com.au</w:t>
      </w:r>
    </w:p>
    <w:p>
      <w:pPr>
        <w:pStyle w:val="BodyText"/>
      </w:pPr>
      <w:r>
        <w:t xml:space="preserve">ABN: 12 345 678 901</w:t>
      </w:r>
    </w:p>
    <w:p>
      <w:pPr>
        <w:pStyle w:val="BodyText"/>
      </w:pPr>
      <w:r>
        <w:t xml:space="preserve">AHPRA Registration: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 Kilda Community Health Centre</w:t>
      </w:r>
    </w:p>
    <w:p>
      <w:pPr>
        <w:pStyle w:val="BodyText"/>
      </w:pPr>
      <w:r>
        <w:t xml:space="preserve">Attn: Finance Department</w:t>
      </w:r>
    </w:p>
    <w:p>
      <w:pPr>
        <w:pStyle w:val="BodyText"/>
      </w:pPr>
      <w:r>
        <w:t xml:space="preserve">45 Acland Street</w:t>
      </w:r>
    </w:p>
    <w:p>
      <w:pPr>
        <w:pStyle w:val="BodyText"/>
      </w:pPr>
      <w:r>
        <w:t xml:space="preserve">St Kilda VIC 3182, Australia</w:t>
      </w:r>
    </w:p>
    <w:p>
      <w:pPr>
        <w:pStyle w:val="BodyText"/>
      </w:pPr>
      <w:r>
        <w:t xml:space="preserve">PO Box 1234, Melbourne VIC 3001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Clinical Medication Review (CMR)</w:t>
            </w:r>
            <w:r>
              <w:br/>
            </w:r>
            <w:r>
              <w:t xml:space="preserve">Comprehensive review of patient medication regimens in accordance with Australian Pharmaceutical Benefits Scheme (PBS) guidelines. Includes identification of drug interactions, adherence counseling, and optimization of therapeutic outcomes for chronic disease management.</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Pharmacist Consultation &amp; Patient Education</w:t>
            </w:r>
            <w:r>
              <w:br/>
            </w:r>
            <w:r>
              <w:t xml:space="preserve">One-on-one consultations regarding new prescriptions, dosage adjustments, and side effect management. Includes documentation of clinical notes and communication with referring GPs within the Melbourne healthcare network.</w:t>
            </w:r>
          </w:p>
        </w:tc>
        <w:tc>
          <w:tcPr/>
          <w:p>
            <w:pPr>
              <w:pStyle w:val="Compact"/>
              <w:jc w:val="left"/>
            </w:pPr>
            <w:r>
              <w:t xml:space="preserve">8.5</w:t>
            </w:r>
          </w:p>
        </w:tc>
        <w:tc>
          <w:tcPr/>
          <w:p>
            <w:pPr>
              <w:pStyle w:val="Compact"/>
              <w:jc w:val="left"/>
            </w:pPr>
            <w:r>
              <w:t xml:space="preserve">165.00</w:t>
            </w:r>
          </w:p>
        </w:tc>
        <w:tc>
          <w:tcPr/>
          <w:p>
            <w:pPr>
              <w:pStyle w:val="Compact"/>
              <w:jc w:val="left"/>
            </w:pPr>
            <w:r>
              <w:t xml:space="preserve">1,402.50</w:t>
            </w:r>
          </w:p>
        </w:tc>
      </w:tr>
      <w:tr>
        <w:tc>
          <w:tcPr/>
          <w:p>
            <w:pPr>
              <w:pStyle w:val="Compact"/>
              <w:jc w:val="left"/>
            </w:pPr>
            <w:r>
              <w:t xml:space="preserve">3</w:t>
            </w:r>
          </w:p>
        </w:tc>
        <w:tc>
          <w:tcPr/>
          <w:p>
            <w:pPr>
              <w:pStyle w:val="Compact"/>
              <w:jc w:val="left"/>
            </w:pPr>
            <w:r>
              <w:rPr>
                <w:bCs/>
                <w:b/>
              </w:rPr>
              <w:t xml:space="preserve">Specialized Compounding Services</w:t>
            </w:r>
            <w:r>
              <w:br/>
            </w:r>
            <w:r>
              <w:t xml:space="preserve">Preparation of customized pharmaceutical formulations not commercially available. Includes sourcing of raw materials compliant with TGA standards, quality control testing, and labeling for specific patient requirements.</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4</w:t>
            </w:r>
          </w:p>
        </w:tc>
        <w:tc>
          <w:tcPr/>
          <w:p>
            <w:pPr>
              <w:pStyle w:val="Compact"/>
              <w:jc w:val="left"/>
            </w:pPr>
            <w:r>
              <w:rPr>
                <w:bCs/>
                <w:b/>
              </w:rPr>
              <w:t xml:space="preserve">Inventory Management &amp; Supply Chain Oversight</w:t>
            </w:r>
            <w:r>
              <w:br/>
            </w:r>
            <w:r>
              <w:t xml:space="preserve">Management of pharmaceutical stock levels, expiration date monitoring, and procurement of essential medicines. Ensures compliance with Victorian pharmacy regulations and maintains optimal stock turnover.</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Regulatory Compliance &amp; Documentation</w:t>
            </w:r>
            <w:r>
              <w:br/>
            </w:r>
            <w:r>
              <w:t xml:space="preserve">Preparation of required reports for the Pharmacy Board of Australia and local health authorities. Includes audit trail maintenance, controlled substance logging, and staff training on updated safety protocols.</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w:t>
            </w:r>
          </w:p>
        </w:tc>
      </w:tr>
    </w:tbl>
    <w:p>
      <w:pPr>
        <w:pStyle w:val="BodyText"/>
      </w:pPr>
      <w:r>
        <w:t xml:space="preserve">Subtotal:</w:t>
      </w:r>
      <w:r>
        <w:t xml:space="preserve"> </w:t>
      </w:r>
      <w:r>
        <w:t xml:space="preserve">$5,797.50</w:t>
      </w:r>
    </w:p>
    <w:p>
      <w:pPr>
        <w:pStyle w:val="BodyText"/>
      </w:pPr>
      <w:r>
        <w:t xml:space="preserve">GST (10%):</w:t>
      </w:r>
      <w:r>
        <w:t xml:space="preserve"> </w:t>
      </w:r>
      <w:r>
        <w:t xml:space="preserve">$579.75</w:t>
      </w:r>
    </w:p>
    <w:p>
      <w:pPr>
        <w:pStyle w:val="BodyText"/>
      </w:pPr>
      <w:r>
        <w:t xml:space="preserve">Total Due (AUD):</w:t>
      </w:r>
      <w:r>
        <w:t xml:space="preserve"> </w:t>
      </w:r>
      <w:r>
        <w:t xml:space="preserve">$6,377.25</w:t>
      </w:r>
    </w:p>
    <w:bookmarkStart w:id="23" w:name="payment-instructions-terms"/>
    <w:p>
      <w:pPr>
        <w:pStyle w:val="Heading4"/>
      </w:pPr>
      <w:r>
        <w:t xml:space="preserve">Payment Instructions &amp; Terms</w:t>
      </w:r>
    </w:p>
    <w:p>
      <w:pPr>
        <w:pStyle w:val="FirstParagraph"/>
      </w:pPr>
      <w:r>
        <w:t xml:space="preserve">Please remit payment within 30 days of the invoice date to avoid late fees. Payments can be made via Bank Transfer (BSB: 082-001, Account: 12345678) or by cheque payable to "Melbourne Clinical Pharmacy Services".</w:t>
      </w:r>
    </w:p>
    <w:p>
      <w:pPr>
        <w:pStyle w:val="BodyText"/>
      </w:pPr>
      <w:r>
        <w:rPr>
          <w:bCs/>
          <w:b/>
        </w:rPr>
        <w:t xml:space="preserve">Important Note for Australian Clients:</w:t>
      </w:r>
      <w:r>
        <w:t xml:space="preserve"> </w:t>
      </w:r>
      <w:r>
        <w:t xml:space="preserve">All services rendered by our Pharmacist are conducted in strict adherence to the</w:t>
      </w:r>
      <w:r>
        <w:t xml:space="preserve"> </w:t>
      </w:r>
      <w:r>
        <w:rPr>
          <w:iCs/>
          <w:i/>
        </w:rPr>
        <w:t xml:space="preserve">Pharmacy Practice Standards</w:t>
      </w:r>
      <w:r>
        <w:t xml:space="preserve"> </w:t>
      </w:r>
      <w:r>
        <w:t xml:space="preserve">set by the Pharmacy Board of Australia. This invoice covers professional clinical services provided in Melbourne, Victoria. Goods and Services Tax (GST) has been applied as required by the Australian Taxation Office (ATO).</w:t>
      </w:r>
    </w:p>
    <w:p>
      <w:pPr>
        <w:pStyle w:val="BodyText"/>
      </w:pPr>
      <w:r>
        <w:t xml:space="preserve">If you have any questions regarding the services provided by our Pharmacist or the details of this Invoice, please contact our accounts department immediately. We are committed to providing transparent billing and high-quality pharmaceutical care to our clients in Australia Melbourne and surrounding regions.</w:t>
      </w:r>
    </w:p>
    <w:bookmarkEnd w:id="23"/>
    <w:p>
      <w:pPr>
        <w:pStyle w:val="BodyText"/>
      </w:pPr>
      <w:r>
        <w:t xml:space="preserve">Melbourne Clinical Pharmacy Services | ABN 12 345 678 901</w:t>
      </w:r>
      <w:r>
        <w:br/>
      </w:r>
      <w:r>
        <w:t xml:space="preserve">This Invoice is a valid tax document for Australian financial records.</w:t>
      </w:r>
      <w:r>
        <w:br/>
      </w:r>
      <w:r>
        <w:t xml:space="preserve">Generated on 15 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Melbourne, Australia</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