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Bogotá,</w:t>
      </w:r>
      <w:r>
        <w:t xml:space="preserve"> </w:t>
      </w:r>
      <w:r>
        <w:t xml:space="preserve">Colombia</w:t>
      </w:r>
    </w:p>
    <w:bookmarkStart w:id="20" w:name="pharmacare-bogotá-s.a.s."/>
    <w:p>
      <w:pPr>
        <w:pStyle w:val="Heading1"/>
      </w:pPr>
      <w:r>
        <w:t xml:space="preserve">PharmaCare Bogotá S.A.S.</w:t>
      </w:r>
    </w:p>
    <w:p>
      <w:pPr>
        <w:pStyle w:val="FirstParagraph"/>
      </w:pPr>
      <w:r>
        <w:rPr>
          <w:bCs/>
          <w:b/>
        </w:rPr>
        <w:t xml:space="preserve">Professional Pharmacist Services &amp; Consulting</w:t>
      </w:r>
    </w:p>
    <w:p>
      <w:pPr>
        <w:pStyle w:val="BodyText"/>
      </w:pPr>
      <w:r>
        <w:t xml:space="preserve">Cra 7 # 41-25, Oficina 301</w:t>
      </w:r>
    </w:p>
    <w:p>
      <w:pPr>
        <w:pStyle w:val="BodyText"/>
      </w:pPr>
      <w:r>
        <w:t xml:space="preserve">Localización: Chapinero, Bogotá D.C., Colombia</w:t>
      </w:r>
    </w:p>
    <w:p>
      <w:pPr>
        <w:pStyle w:val="BodyText"/>
      </w:pPr>
      <w:r>
        <w:t xml:space="preserve">NIT: 900.123.456-7</w:t>
      </w:r>
    </w:p>
    <w:p>
      <w:pPr>
        <w:pStyle w:val="BodyText"/>
      </w:pPr>
      <w:r>
        <w:t xml:space="preserve">Phone: +57 (1) 234 5678</w:t>
      </w:r>
    </w:p>
    <w:p>
      <w:pPr>
        <w:pStyle w:val="BodyText"/>
      </w:pPr>
      <w:r>
        <w:t xml:space="preserve">Email: billing@pharmacarebogota.com.co</w:t>
      </w:r>
    </w:p>
    <w:bookmarkEnd w:id="20"/>
    <w:bookmarkStart w:id="21" w:name="invoice"/>
    <w:p>
      <w:pPr>
        <w:pStyle w:val="Heading2"/>
      </w:pPr>
      <w:r>
        <w:t xml:space="preserve">INVOICE</w:t>
      </w:r>
    </w:p>
    <w:p>
      <w:pPr>
        <w:pStyle w:val="FirstParagraph"/>
      </w:pPr>
      <w:r>
        <w:t xml:space="preserve">Invoice #: INV-BOG-2023-089</w:t>
      </w:r>
    </w:p>
    <w:p>
      <w:pPr>
        <w:pStyle w:val="BodyText"/>
      </w:pPr>
      <w:r>
        <w:t xml:space="preserve">Date: October 24, 2023</w:t>
      </w:r>
    </w:p>
    <w:p>
      <w:pPr>
        <w:pStyle w:val="BodyText"/>
      </w:pPr>
      <w:r>
        <w:t xml:space="preserve">Due Date: November 24, 2023</w:t>
      </w:r>
    </w:p>
    <w:p>
      <w:pPr>
        <w:pStyle w:val="BodyText"/>
      </w:pPr>
      <w:r>
        <w:t xml:space="preserve">Payment Terms: Net 30</w:t>
      </w:r>
    </w:p>
    <w:bookmarkEnd w:id="21"/>
    <w:p>
      <w:pPr>
        <w:pStyle w:val="BodyText"/>
      </w:pPr>
      <w:r>
        <w:t xml:space="preserve">Bill To:</w:t>
      </w:r>
    </w:p>
    <w:p>
      <w:pPr>
        <w:pStyle w:val="BodyText"/>
      </w:pPr>
      <w:r>
        <w:rPr>
          <w:bCs/>
          <w:b/>
        </w:rPr>
        <w:t xml:space="preserve">Clínica San Rafael S.A.</w:t>
      </w:r>
    </w:p>
    <w:p>
      <w:pPr>
        <w:pStyle w:val="BodyText"/>
      </w:pPr>
      <w:r>
        <w:t xml:space="preserve">Attn: Procurement Department</w:t>
      </w:r>
    </w:p>
    <w:p>
      <w:pPr>
        <w:pStyle w:val="BodyText"/>
      </w:pPr>
      <w:r>
        <w:t xml:space="preserve">Calle 100 # 19-42</w:t>
      </w:r>
    </w:p>
    <w:p>
      <w:pPr>
        <w:pStyle w:val="BodyText"/>
      </w:pPr>
      <w:r>
        <w:t xml:space="preserve">Localización: Usaquén, Bogotá D.C., Colombia</w:t>
      </w:r>
    </w:p>
    <w:p>
      <w:pPr>
        <w:pStyle w:val="BodyText"/>
      </w:pPr>
      <w:r>
        <w:t xml:space="preserve">NIT: 800.987.654-3</w:t>
      </w:r>
    </w:p>
    <w:p>
      <w:pPr>
        <w:pStyle w:val="BodyText"/>
      </w:pPr>
      <w:r>
        <w:t xml:space="preserve">Description of Professional Services</w:t>
      </w:r>
    </w:p>
    <w:p>
      <w:pPr>
        <w:pStyle w:val="BodyText"/>
      </w:pPr>
      <w:r>
        <w:t xml:space="preserve">This invoice represents the professional fees for specialized pharmaceutical consulting, inventory management, and regulatory compliance services provided by a licensed Pharmacist in accordance with the regulations of the Superintendencia de Salud in Colombia. These services were rendered specifically within the jurisdiction of Bogotá D.C. to ensure optimal medication safety and operational efficiency for your facility.</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rPr>
                <w:bCs/>
                <w:b/>
              </w:rPr>
              <w:t xml:space="preserve">Pharmaceutical Inventory Audit &amp; Optimization</w:t>
            </w:r>
            <w:r>
              <w:br/>
            </w:r>
            <w:r>
              <w:t xml:space="preserve">Comprehensive review of stock levels, expiration dates, and cold chain integrity. The Pharmacist conducted a physical count and digital reconciliation of controlled substances and general medications to align with Colombian health standards.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Regulatory Compliance Consultation (INVIMA Standards)</w:t>
            </w:r>
            <w:r>
              <w:br/>
            </w:r>
            <w:r>
              <w:t xml:space="preserve">Advisory services regarding the storage and handling of pharmaceutical products in Bogotá. Ensuring the clinic meets all current requirements set by the National Food and Drug Surveillance Institute (INVIMA).</w:t>
            </w:r>
          </w:p>
        </w:tc>
        <w:tc>
          <w:tcPr/>
          <w:p>
            <w:pPr>
              <w:pStyle w:val="Compact"/>
              <w:jc w:val="left"/>
            </w:pPr>
            <w:r>
              <w:t xml:space="preserve">10</w:t>
            </w:r>
          </w:p>
        </w:tc>
        <w:tc>
          <w:tcPr/>
          <w:p>
            <w:pPr>
              <w:pStyle w:val="Compact"/>
              <w:jc w:val="left"/>
            </w:pPr>
            <w:r>
              <w:t xml:space="preserve">150,000</w:t>
            </w:r>
          </w:p>
        </w:tc>
        <w:tc>
          <w:tcPr/>
          <w:p>
            <w:pPr>
              <w:pStyle w:val="Compact"/>
              <w:jc w:val="left"/>
            </w:pPr>
            <w:r>
              <w:t xml:space="preserve">1,500,000</w:t>
            </w:r>
          </w:p>
        </w:tc>
      </w:tr>
      <w:tr>
        <w:tc>
          <w:tcPr/>
          <w:p>
            <w:pPr>
              <w:pStyle w:val="Compact"/>
              <w:jc w:val="left"/>
            </w:pPr>
            <w:r>
              <w:t xml:space="preserve">3</w:t>
            </w:r>
          </w:p>
        </w:tc>
        <w:tc>
          <w:tcPr/>
          <w:p>
            <w:pPr>
              <w:pStyle w:val="Compact"/>
              <w:jc w:val="left"/>
            </w:pPr>
            <w:r>
              <w:rPr>
                <w:bCs/>
                <w:b/>
              </w:rPr>
              <w:t xml:space="preserve">Staff Training: Medication Safety Protocols</w:t>
            </w:r>
            <w:r>
              <w:br/>
            </w:r>
            <w:r>
              <w:t xml:space="preserve">Workshop led by the Pharmacist for nursing and administrative staff on proper drug administration, interaction checks, and adverse event reporting within the Bogotá healthcare context.</w:t>
            </w:r>
          </w:p>
        </w:tc>
        <w:tc>
          <w:tcPr/>
          <w:p>
            <w:pPr>
              <w:pStyle w:val="Compact"/>
              <w:jc w:val="left"/>
            </w:pPr>
            <w:r>
              <w:t xml:space="preserve">2</w:t>
            </w:r>
          </w:p>
        </w:tc>
        <w:tc>
          <w:tcPr/>
          <w:p>
            <w:pPr>
              <w:pStyle w:val="Compact"/>
              <w:jc w:val="left"/>
            </w:pPr>
            <w:r>
              <w:t xml:space="preserve">800,000</w:t>
            </w:r>
          </w:p>
        </w:tc>
        <w:tc>
          <w:tcPr/>
          <w:p>
            <w:pPr>
              <w:pStyle w:val="Compact"/>
              <w:jc w:val="left"/>
            </w:pPr>
            <w:r>
              <w:t xml:space="preserve">1,600,000</w:t>
            </w:r>
          </w:p>
        </w:tc>
      </w:tr>
      <w:tr>
        <w:tc>
          <w:tcPr/>
          <w:p>
            <w:pPr>
              <w:pStyle w:val="Compact"/>
              <w:jc w:val="left"/>
            </w:pPr>
            <w:r>
              <w:t xml:space="preserve">4</w:t>
            </w:r>
          </w:p>
        </w:tc>
        <w:tc>
          <w:tcPr/>
          <w:p>
            <w:pPr>
              <w:pStyle w:val="Compact"/>
              <w:jc w:val="left"/>
            </w:pPr>
            <w:r>
              <w:rPr>
                <w:bCs/>
                <w:b/>
              </w:rPr>
              <w:t xml:space="preserve">Formulary Review and Cost Analysis</w:t>
            </w:r>
            <w:r>
              <w:br/>
            </w:r>
            <w:r>
              <w:t xml:space="preserve">Analysis of the current drug formulary to suggest generic alternatives available in the Colombian market that maintain therapeutic efficacy while reducing costs.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Controlled Substance Management Plan</w:t>
            </w:r>
            <w:r>
              <w:br/>
            </w:r>
            <w:r>
              <w:t xml:space="preserve">Development of a strict protocol for the tracking of psychotropic and narcotic substances, ensuring compliance with local Bogotá police and health authority regulations.</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COP 8,600,000</w:t>
            </w:r>
          </w:p>
        </w:tc>
      </w:tr>
      <w:tr>
        <w:tc>
          <w:tcPr/>
          <w:p>
            <w:pPr>
              <w:pStyle w:val="Compact"/>
              <w:jc w:val="left"/>
            </w:pPr>
            <w:r>
              <w:t xml:space="preserve">IVA (19% Tax):</w:t>
            </w:r>
          </w:p>
        </w:tc>
        <w:tc>
          <w:tcPr/>
          <w:p>
            <w:pPr>
              <w:pStyle w:val="Compact"/>
              <w:jc w:val="left"/>
            </w:pPr>
            <w:r>
              <w:t xml:space="preserve">COP 1,634,000</w:t>
            </w:r>
          </w:p>
        </w:tc>
      </w:tr>
      <w:tr>
        <w:tc>
          <w:tcPr/>
          <w:p>
            <w:pPr>
              <w:pStyle w:val="Compact"/>
              <w:jc w:val="left"/>
            </w:pPr>
            <w:r>
              <w:t xml:space="preserve">Total Due:</w:t>
            </w:r>
          </w:p>
        </w:tc>
        <w:tc>
          <w:tcPr/>
          <w:p>
            <w:pPr>
              <w:pStyle w:val="Compact"/>
              <w:jc w:val="left"/>
            </w:pPr>
            <w:r>
              <w:t xml:space="preserve">COP 10,234,000</w:t>
            </w:r>
          </w:p>
        </w:tc>
      </w:tr>
    </w:tbl>
    <w:p>
      <w:pPr>
        <w:pStyle w:val="BodyText"/>
      </w:pPr>
      <w:r>
        <w:t xml:space="preserve">Payment Instructions</w:t>
      </w:r>
    </w:p>
    <w:p>
      <w:pPr>
        <w:pStyle w:val="BodyText"/>
      </w:pPr>
      <w:r>
        <w:t xml:space="preserve">Please make payment via bank transfer to the following account within 30 days of the invoice date.</w:t>
      </w:r>
    </w:p>
    <w:p>
      <w:pPr>
        <w:numPr>
          <w:ilvl w:val="0"/>
          <w:numId w:val="1001"/>
        </w:numPr>
        <w:pStyle w:val="Compact"/>
      </w:pPr>
      <w:r>
        <w:rPr>
          <w:bCs/>
          <w:b/>
        </w:rPr>
        <w:t xml:space="preserve">Bank:</w:t>
      </w:r>
      <w:r>
        <w:t xml:space="preserve"> </w:t>
      </w:r>
      <w:r>
        <w:t xml:space="preserve">Bancolombia</w:t>
      </w:r>
    </w:p>
    <w:p>
      <w:pPr>
        <w:numPr>
          <w:ilvl w:val="0"/>
          <w:numId w:val="1001"/>
        </w:numPr>
        <w:pStyle w:val="Compact"/>
      </w:pPr>
      <w:r>
        <w:rPr>
          <w:bCs/>
          <w:b/>
        </w:rPr>
        <w:t xml:space="preserve">Account Type:</w:t>
      </w:r>
      <w:r>
        <w:t xml:space="preserve"> </w:t>
      </w:r>
      <w:r>
        <w:t xml:space="preserve">Current Account (Cuenta Corriente)</w:t>
      </w:r>
    </w:p>
    <w:p>
      <w:pPr>
        <w:numPr>
          <w:ilvl w:val="0"/>
          <w:numId w:val="1001"/>
        </w:numPr>
        <w:pStyle w:val="Compact"/>
      </w:pPr>
      <w:r>
        <w:rPr>
          <w:bCs/>
          <w:b/>
        </w:rPr>
        <w:t xml:space="preserve">Account Number:</w:t>
      </w:r>
      <w:r>
        <w:t xml:space="preserve"> </w:t>
      </w:r>
      <w:r>
        <w:t xml:space="preserve">123-456789-00</w:t>
      </w:r>
    </w:p>
    <w:p>
      <w:pPr>
        <w:numPr>
          <w:ilvl w:val="0"/>
          <w:numId w:val="1001"/>
        </w:numPr>
        <w:pStyle w:val="Compact"/>
      </w:pPr>
      <w:r>
        <w:rPr>
          <w:bCs/>
          <w:b/>
        </w:rPr>
        <w:t xml:space="preserve">Reference:</w:t>
      </w:r>
      <w:r>
        <w:t xml:space="preserve"> </w:t>
      </w:r>
      <w:r>
        <w:t xml:space="preserve">INV-BOG-2023-089</w:t>
      </w:r>
    </w:p>
    <w:p>
      <w:pPr>
        <w:pStyle w:val="FirstParagraph"/>
      </w:pPr>
      <w:r>
        <w:t xml:space="preserve">Notes &amp; Legal Information</w:t>
      </w:r>
    </w:p>
    <w:p>
      <w:pPr>
        <w:pStyle w:val="BodyText"/>
      </w:pPr>
      <w:r>
        <w:rPr>
          <w:bCs/>
          <w:b/>
        </w:rPr>
        <w:t xml:space="preserve">Professional Liability:</w:t>
      </w:r>
      <w:r>
        <w:t xml:space="preserve"> </w:t>
      </w:r>
      <w:r>
        <w:t xml:space="preserve">The services described in this invoice were performed by a licensed Pharmacist registered with the Colegio de Farmacéuticos de Bogotá. All advice and audits are based on current pharmaceutical laws in Colombia.</w:t>
      </w:r>
    </w:p>
    <w:p>
      <w:pPr>
        <w:pStyle w:val="BodyText"/>
      </w:pPr>
      <w:r>
        <w:rPr>
          <w:bCs/>
          <w:b/>
        </w:rPr>
        <w:t xml:space="preserve">Tax Information:</w:t>
      </w:r>
      <w:r>
        <w:t xml:space="preserve"> </w:t>
      </w:r>
      <w:r>
        <w:t xml:space="preserve">This invoice includes the Value Added Tax (IVA) at the standard rate of 19% applicable in Bogotá, Colombia. This document serves as a valid fiscal receipt for tax deduction purposes according to the Dirección de Impuestos y Aduanas Nacionales (DIAN).</w:t>
      </w:r>
    </w:p>
    <w:p>
      <w:pPr>
        <w:pStyle w:val="BodyText"/>
      </w:pPr>
      <w:r>
        <w:rPr>
          <w:bCs/>
          <w:b/>
        </w:rPr>
        <w:t xml:space="preserve">Dispute Resolution:</w:t>
      </w:r>
      <w:r>
        <w:t xml:space="preserve"> </w:t>
      </w:r>
      <w:r>
        <w:t xml:space="preserve">Any disputes arising from this invoice or the services rendered shall be resolved in the courts of Bogotá D.C., Colombia.</w:t>
      </w:r>
    </w:p>
    <w:p>
      <w:pPr>
        <w:pStyle w:val="BodyText"/>
      </w:pPr>
      <w:r>
        <w:t xml:space="preserve">Thank you for your business. We are committed to maintaining the highest standards of pharmaceutical care and regulatory compliance in Bogotá.</w:t>
      </w:r>
    </w:p>
    <w:p>
      <w:pPr>
        <w:pStyle w:val="BodyText"/>
      </w:pPr>
      <w:r>
        <w:t xml:space="preserve">PharmaCare Bogotá S.A.S. | NIT: 900.123.456-7 | Bogotá D.C., Colombia</w:t>
      </w:r>
    </w:p>
    <w:p>
      <w:pPr>
        <w:pStyle w:val="BodyText"/>
      </w:pPr>
      <w:r>
        <w:t xml:space="preserve">Generated on 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Bogotá, Colombia</dc:title>
  <dc:creator/>
  <dc:language>en</dc:language>
  <cp:keywords/>
  <dcterms:created xsi:type="dcterms:W3CDTF">2026-10-10T10:20:43Z</dcterms:created>
  <dcterms:modified xsi:type="dcterms:W3CDTF">2026-10-10T10:20:43Z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