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Pharmacist</w:t>
      </w:r>
      <w:r>
        <w:t xml:space="preserve"> </w:t>
      </w:r>
      <w:r>
        <w:t xml:space="preserve">Invoice</w:t>
      </w:r>
      <w:r>
        <w:t xml:space="preserve"> </w:t>
      </w:r>
      <w:r>
        <w:t xml:space="preserve">-</w:t>
      </w:r>
      <w:r>
        <w:t xml:space="preserve"> </w:t>
      </w:r>
      <w:r>
        <w:t xml:space="preserve">Cairo,</w:t>
      </w:r>
      <w:r>
        <w:t xml:space="preserve"> </w:t>
      </w:r>
      <w:r>
        <w:t xml:space="preserve">Egypt</w:t>
      </w:r>
    </w:p>
    <w:bookmarkStart w:id="20" w:name="nile-medical-pharmacy-consulting"/>
    <w:p>
      <w:pPr>
        <w:pStyle w:val="Heading1"/>
      </w:pPr>
      <w:r>
        <w:t xml:space="preserve">Nile Medical Pharmacy &amp; Consulting</w:t>
      </w:r>
    </w:p>
    <w:p>
      <w:pPr>
        <w:pStyle w:val="FirstParagraph"/>
      </w:pPr>
      <w:r>
        <w:rPr>
          <w:bCs/>
          <w:b/>
        </w:rPr>
        <w:t xml:space="preserve">License No:</w:t>
      </w:r>
      <w:r>
        <w:t xml:space="preserve"> </w:t>
      </w:r>
      <w:r>
        <w:t xml:space="preserve">2023-CAI-98765</w:t>
      </w:r>
    </w:p>
    <w:p>
      <w:pPr>
        <w:pStyle w:val="BodyText"/>
      </w:pPr>
      <w:r>
        <w:rPr>
          <w:bCs/>
          <w:b/>
        </w:rPr>
        <w:t xml:space="preserve">Address:</w:t>
      </w:r>
      <w:r>
        <w:t xml:space="preserve"> </w:t>
      </w:r>
      <w:r>
        <w:t xml:space="preserve">15 El-Tahrir Street, Downtown District</w:t>
      </w:r>
    </w:p>
    <w:p>
      <w:pPr>
        <w:pStyle w:val="BodyText"/>
      </w:pPr>
      <w:r>
        <w:rPr>
          <w:bCs/>
          <w:b/>
        </w:rPr>
        <w:t xml:space="preserve">City:</w:t>
      </w:r>
      <w:r>
        <w:t xml:space="preserve"> </w:t>
      </w:r>
      <w:r>
        <w:t xml:space="preserve">Cairo, Egypt</w:t>
      </w:r>
    </w:p>
    <w:p>
      <w:pPr>
        <w:pStyle w:val="BodyText"/>
      </w:pPr>
      <w:r>
        <w:rPr>
          <w:bCs/>
          <w:b/>
        </w:rPr>
        <w:t xml:space="preserve">Phone:</w:t>
      </w:r>
      <w:r>
        <w:t xml:space="preserve"> </w:t>
      </w:r>
      <w:r>
        <w:t xml:space="preserve">+20 2 1234 5678</w:t>
      </w:r>
    </w:p>
    <w:p>
      <w:pPr>
        <w:pStyle w:val="BodyText"/>
      </w:pPr>
      <w:r>
        <w:rPr>
          <w:bCs/>
          <w:b/>
        </w:rPr>
        <w:t xml:space="preserve">Email:</w:t>
      </w:r>
      <w:r>
        <w:t xml:space="preserve"> </w:t>
      </w:r>
      <w:r>
        <w:t xml:space="preserve">billing@nilemedicalpharmacy.com</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Al-Ahram General Hospital</w:t>
      </w:r>
    </w:p>
    <w:p>
      <w:pPr>
        <w:pStyle w:val="BodyText"/>
      </w:pPr>
      <w:r>
        <w:rPr>
          <w:bCs/>
          <w:b/>
        </w:rPr>
        <w:t xml:space="preserve">Department:</w:t>
      </w:r>
      <w:r>
        <w:t xml:space="preserve"> </w:t>
      </w:r>
      <w:r>
        <w:t xml:space="preserve">Procurement &amp; Pharmacy Supply</w:t>
      </w:r>
    </w:p>
    <w:p>
      <w:pPr>
        <w:pStyle w:val="BodyText"/>
      </w:pPr>
      <w:r>
        <w:rPr>
          <w:bCs/>
          <w:b/>
        </w:rPr>
        <w:t xml:space="preserve">Address:</w:t>
      </w:r>
      <w:r>
        <w:t xml:space="preserve"> </w:t>
      </w:r>
      <w:r>
        <w:t xml:space="preserve">105 El-Nasr Road, Nasr City</w:t>
      </w:r>
    </w:p>
    <w:p>
      <w:pPr>
        <w:pStyle w:val="BodyText"/>
      </w:pPr>
      <w:r>
        <w:rPr>
          <w:bCs/>
          <w:b/>
        </w:rPr>
        <w:t xml:space="preserve">City:</w:t>
      </w:r>
      <w:r>
        <w:t xml:space="preserve"> </w:t>
      </w:r>
      <w:r>
        <w:t xml:space="preserve">Cairo, Egypt</w:t>
      </w:r>
    </w:p>
    <w:p>
      <w:pPr>
        <w:pStyle w:val="BodyText"/>
      </w:pPr>
      <w:r>
        <w:rPr>
          <w:bCs/>
          <w:b/>
        </w:rPr>
        <w:t xml:space="preserve">Tax ID:</w:t>
      </w:r>
      <w:r>
        <w:t xml:space="preserve"> </w:t>
      </w:r>
      <w:r>
        <w:t xml:space="preserve">EG-TAX-99887766</w:t>
      </w:r>
    </w:p>
    <w:bookmarkEnd w:id="22"/>
    <w:bookmarkStart w:id="23" w:name="invoice-information"/>
    <w:p>
      <w:pPr>
        <w:pStyle w:val="Heading3"/>
      </w:pPr>
      <w:r>
        <w:t xml:space="preserve">Invoice Information:</w:t>
      </w:r>
    </w:p>
    <w:p>
      <w:pPr>
        <w:pStyle w:val="FirstParagraph"/>
      </w:pPr>
      <w:r>
        <w:rPr>
          <w:bCs/>
          <w:b/>
        </w:rPr>
        <w:t xml:space="preserve">Invoice Number:</w:t>
      </w:r>
      <w:r>
        <w:t xml:space="preserve"> </w:t>
      </w:r>
      <w:r>
        <w:t xml:space="preserve">INV-2023-10-045</w:t>
      </w:r>
    </w:p>
    <w:p>
      <w:pPr>
        <w:pStyle w:val="BodyText"/>
      </w:pPr>
      <w:r>
        <w:rPr>
          <w:bCs/>
          <w:b/>
        </w:rPr>
        <w:t xml:space="preserve">Service Period:</w:t>
      </w:r>
      <w:r>
        <w:t xml:space="preserve"> </w:t>
      </w:r>
      <w:r>
        <w:t xml:space="preserve">October 1 - October 31, 2023</w:t>
      </w:r>
    </w:p>
    <w:p>
      <w:pPr>
        <w:pStyle w:val="BodyText"/>
      </w:pPr>
      <w:r>
        <w:rPr>
          <w:bCs/>
          <w:b/>
        </w:rPr>
        <w:t xml:space="preserve">Currency:</w:t>
      </w:r>
      <w:r>
        <w:t xml:space="preserve"> </w:t>
      </w:r>
      <w:r>
        <w:t xml:space="preserve">Egyptian Pound (EGP)</w:t>
      </w:r>
    </w:p>
    <w:p>
      <w:pPr>
        <w:pStyle w:val="BodyText"/>
      </w:pPr>
      <w:r>
        <w:rPr>
          <w:bCs/>
          <w:b/>
        </w:rPr>
        <w:t xml:space="preserve">Payment Method:</w:t>
      </w:r>
      <w:r>
        <w:t xml:space="preserve"> </w:t>
      </w:r>
      <w:r>
        <w:t xml:space="preserve">Bank Transfer</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 / Items</w:t>
            </w:r>
          </w:p>
        </w:tc>
        <w:tc>
          <w:tcPr/>
          <w:p>
            <w:pPr>
              <w:pStyle w:val="Compact"/>
              <w:jc w:val="left"/>
            </w:pPr>
            <w:r>
              <w:t xml:space="preserve">Quantity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rPr>
                <w:bCs/>
                <w:b/>
              </w:rPr>
              <w:t xml:space="preserve">Professional Pharmacist Consultation Services</w:t>
            </w:r>
            <w:r>
              <w:br/>
            </w:r>
            <w:r>
              <w:t xml:space="preserve">Provision of specialized clinical pharmacist services for patient medication therapy management. This includes reviewing complex drug regimens, identifying potential drug interactions, and optimizing therapeutic outcomes for in-patients in the ICU ward.</w:t>
            </w:r>
          </w:p>
        </w:tc>
        <w:tc>
          <w:tcPr/>
          <w:p>
            <w:pPr>
              <w:pStyle w:val="Compact"/>
              <w:jc w:val="left"/>
            </w:pPr>
            <w:r>
              <w:t xml:space="preserve">40</w:t>
            </w:r>
          </w:p>
        </w:tc>
        <w:tc>
          <w:tcPr/>
          <w:p>
            <w:pPr>
              <w:pStyle w:val="Compact"/>
              <w:jc w:val="left"/>
            </w:pPr>
            <w:r>
              <w:t xml:space="preserve">500.00</w:t>
            </w:r>
          </w:p>
        </w:tc>
        <w:tc>
          <w:tcPr/>
          <w:p>
            <w:pPr>
              <w:pStyle w:val="Compact"/>
              <w:jc w:val="left"/>
            </w:pPr>
            <w:r>
              <w:t xml:space="preserve">20,000.00</w:t>
            </w:r>
          </w:p>
        </w:tc>
      </w:tr>
      <w:tr>
        <w:tc>
          <w:tcPr/>
          <w:p>
            <w:pPr>
              <w:pStyle w:val="Compact"/>
              <w:jc w:val="left"/>
            </w:pPr>
            <w:r>
              <w:t xml:space="preserve">2</w:t>
            </w:r>
          </w:p>
        </w:tc>
        <w:tc>
          <w:tcPr/>
          <w:p>
            <w:pPr>
              <w:pStyle w:val="Compact"/>
              <w:jc w:val="left"/>
            </w:pPr>
            <w:r>
              <w:rPr>
                <w:bCs/>
                <w:b/>
              </w:rPr>
              <w:t xml:space="preserve">Inventory Management &amp; Supply Chain Optimization</w:t>
            </w:r>
            <w:r>
              <w:br/>
            </w:r>
            <w:r>
              <w:t xml:space="preserve">Comprehensive audit and management of pharmaceutical stock levels. Ensuring compliance with Egyptian Drug Authority (EDA) regulations regarding storage conditions, expiration date tracking, and cold chain maintenance for vaccines and biologics.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3</w:t>
            </w:r>
          </w:p>
        </w:tc>
        <w:tc>
          <w:tcPr/>
          <w:p>
            <w:pPr>
              <w:pStyle w:val="Compact"/>
              <w:jc w:val="left"/>
            </w:pPr>
            <w:r>
              <w:rPr>
                <w:bCs/>
                <w:b/>
              </w:rPr>
              <w:t xml:space="preserve">Staff Training: Pharmacovigilance &amp; Safety</w:t>
            </w:r>
            <w:r>
              <w:br/>
            </w:r>
            <w:r>
              <w:t xml:space="preserve">Conducting a mandatory training workshop for nursing and pharmacy staff on adverse drug reaction reporting protocols. Aligning hospital procedures with international safety standards and local Cairo health directives.</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4</w:t>
            </w:r>
          </w:p>
        </w:tc>
        <w:tc>
          <w:tcPr/>
          <w:p>
            <w:pPr>
              <w:pStyle w:val="Compact"/>
              <w:jc w:val="left"/>
            </w:pPr>
            <w:r>
              <w:rPr>
                <w:bCs/>
                <w:b/>
              </w:rPr>
              <w:t xml:space="preserve">Specialized Medication Procurement</w:t>
            </w:r>
            <w:r>
              <w:br/>
            </w:r>
            <w:r>
              <w:t xml:space="preserve">Sourcing and delivery of specialized oncology medications not readily available in standard retail outlets. Includes verification of authenticity, import documentation handling, and secure transport to the Cairo facility.</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5</w:t>
            </w:r>
          </w:p>
        </w:tc>
        <w:tc>
          <w:tcPr/>
          <w:p>
            <w:pPr>
              <w:pStyle w:val="Compact"/>
              <w:jc w:val="left"/>
            </w:pPr>
            <w:r>
              <w:rPr>
                <w:bCs/>
                <w:b/>
              </w:rPr>
              <w:t xml:space="preserve">Regulatory Compliance Reporting</w:t>
            </w:r>
            <w:r>
              <w:br/>
            </w:r>
            <w:r>
              <w:t xml:space="preserve">Preparation and submission of monthly regulatory reports required by the Ministry of Health and Population. Ensuring all controlled substances are accounted for and documented according to Egyptian law.</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bl>
    <w:p>
      <w:pPr>
        <w:pStyle w:val="BodyText"/>
      </w:pPr>
      <w:r>
        <w:t xml:space="preserve">Subtotal:</w:t>
      </w:r>
      <w:r>
        <w:t xml:space="preserve"> </w:t>
      </w:r>
      <w:r>
        <w:t xml:space="preserve">42,400.00 EGP</w:t>
      </w:r>
    </w:p>
    <w:p>
      <w:pPr>
        <w:pStyle w:val="BodyText"/>
      </w:pPr>
      <w:r>
        <w:t xml:space="preserve">VAT (14%):</w:t>
      </w:r>
      <w:r>
        <w:t xml:space="preserve"> </w:t>
      </w:r>
      <w:r>
        <w:t xml:space="preserve">5,936.00 EGP</w:t>
      </w:r>
    </w:p>
    <w:p>
      <w:pPr>
        <w:pStyle w:val="BodyText"/>
      </w:pPr>
      <w:r>
        <w:t xml:space="preserve">Discount (Early Payment):</w:t>
      </w:r>
      <w:r>
        <w:t xml:space="preserve"> </w:t>
      </w:r>
      <w:r>
        <w:t xml:space="preserve">-500.00 EGP</w:t>
      </w:r>
    </w:p>
    <w:p>
      <w:pPr>
        <w:pStyle w:val="BodyText"/>
      </w:pPr>
      <w:r>
        <w:t xml:space="preserve">TOTAL DUE:</w:t>
      </w:r>
      <w:r>
        <w:t xml:space="preserve"> </w:t>
      </w:r>
      <w:r>
        <w:t xml:space="preserve">47,836.00 EGP</w:t>
      </w:r>
    </w:p>
    <w:bookmarkStart w:id="24" w:name="terms-and-conditions"/>
    <w:p>
      <w:pPr>
        <w:pStyle w:val="Heading4"/>
      </w:pPr>
      <w:r>
        <w:t xml:space="preserve">Terms and Conditions:</w:t>
      </w:r>
    </w:p>
    <w:p>
      <w:pPr>
        <w:pStyle w:val="FirstParagraph"/>
      </w:pPr>
      <w:r>
        <w:t xml:space="preserve">1. Payment is due within 30 days of the invoice date. Late payments may incur a penalty fee of 2% per month.</w:t>
      </w:r>
      <w:r>
        <w:br/>
      </w:r>
      <w:r>
        <w:t xml:space="preserve">2. All services provided by our licensed Pharmacist adhere to the highest standards of the Egyptian Syndicate of Pharmacists.</w:t>
      </w:r>
      <w:r>
        <w:br/>
      </w:r>
      <w:r>
        <w:t xml:space="preserve">3. Please reference Invoice Number INV-2023-10-045 in all correspondence and bank transfers.</w:t>
      </w:r>
      <w:r>
        <w:br/>
      </w:r>
      <w:r>
        <w:t xml:space="preserve">4. Bank Details: National Bank of Egypt (NBE), Branch: Downtown Cairo, Account Name: Nile Medical Pharmacy, Account No: 100200300400500.</w:t>
      </w:r>
      <w:r>
        <w:br/>
      </w:r>
      <w:r>
        <w:t xml:space="preserve">5. This invoice serves as an official receipt for tax purposes in Egypt.</w:t>
      </w:r>
    </w:p>
    <w:bookmarkEnd w:id="24"/>
    <w:bookmarkStart w:id="25" w:name="important-notice"/>
    <w:p>
      <w:pPr>
        <w:pStyle w:val="Heading4"/>
      </w:pPr>
      <w:r>
        <w:t xml:space="preserve">Important Notice:</w:t>
      </w:r>
    </w:p>
    <w:p>
      <w:pPr>
        <w:pStyle w:val="FirstParagraph"/>
      </w:pPr>
      <w:r>
        <w:t xml:space="preserve">This document outlines professional services rendered by a qualified Pharmacist operating within the jurisdiction of Cairo, Egypt. The scope of work includes clinical consultation, regulatory compliance, and pharmaceutical supply chain management. We appreciate your business and look forward to continuing our partnership in advancing healthcare standards in the region.</w:t>
      </w:r>
    </w:p>
    <w:bookmarkEnd w:id="25"/>
    <w:p>
      <w:pPr>
        <w:pStyle w:val="BodyText"/>
      </w:pPr>
      <w:r>
        <w:rPr>
          <w:bCs/>
          <w:b/>
        </w:rPr>
        <w:t xml:space="preserve">Authorized Signature</w:t>
      </w:r>
    </w:p>
    <w:p>
      <w:pPr>
        <w:pStyle w:val="BodyText"/>
      </w:pPr>
      <w:r>
        <w:t xml:space="preserve">Dr. Ahmed Hassan</w:t>
      </w:r>
    </w:p>
    <w:p>
      <w:pPr>
        <w:pStyle w:val="BodyText"/>
      </w:pPr>
      <w:r>
        <w:t xml:space="preserve">Chief Pharmacist</w:t>
      </w:r>
    </w:p>
    <w:p>
      <w:pPr>
        <w:pStyle w:val="BodyText"/>
      </w:pPr>
      <w:r>
        <w:rPr>
          <w:bCs/>
          <w:b/>
        </w:rPr>
        <w:t xml:space="preserve">Received By</w:t>
      </w:r>
    </w:p>
    <w:p>
      <w:pPr>
        <w:pStyle w:val="BodyText"/>
      </w:pPr>
      <w:r>
        <w:t xml:space="preserve">________________________</w:t>
      </w:r>
    </w:p>
    <w:p>
      <w:pPr>
        <w:pStyle w:val="BodyText"/>
      </w:pPr>
      <w:r>
        <w:t xml:space="preserve">Date: 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Pharmacist Invoice - Cairo, Egypt</dc:title>
  <dc:creator/>
  <dc:language>en</dc:language>
  <cp:keywords/>
  <dcterms:created xsi:type="dcterms:W3CDTF">2026-10-10T04:03:25Z</dcterms:created>
  <dcterms:modified xsi:type="dcterms:W3CDTF">2026-10-10T04:03:25Z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