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pharmacie-centrale-de-paris"/>
    <w:p>
      <w:pPr>
        <w:pStyle w:val="Heading1"/>
      </w:pPr>
      <w:r>
        <w:t xml:space="preserve">Pharmacie Centrale de Paris</w:t>
      </w:r>
    </w:p>
    <w:p>
      <w:pPr>
        <w:pStyle w:val="FirstParagraph"/>
      </w:pPr>
      <w:r>
        <w:rPr>
          <w:bCs/>
          <w:b/>
        </w:rPr>
        <w:t xml:space="preserve">Licensed Pharmacist Services &amp; Consultations</w:t>
      </w:r>
    </w:p>
    <w:p>
      <w:pPr>
        <w:pStyle w:val="BodyText"/>
      </w:pPr>
      <w:r>
        <w:t xml:space="preserve">12 Rue de Rivoli, 75001 Paris, France</w:t>
      </w:r>
    </w:p>
    <w:p>
      <w:pPr>
        <w:pStyle w:val="BodyText"/>
      </w:pPr>
      <w:r>
        <w:t xml:space="preserve">Tel: +33 1 42 60 00 00 | Email: contact@pharmacie-centrale-paris.fr</w:t>
      </w:r>
    </w:p>
    <w:p>
      <w:pPr>
        <w:pStyle w:val="BodyText"/>
      </w:pPr>
      <w:r>
        <w:t xml:space="preserve">SIRET: 123 456 789 00012 | TVA Intracommunautaire: FR 12 123456789</w:t>
      </w:r>
    </w:p>
    <w:p>
      <w:pPr>
        <w:pStyle w:val="BodyText"/>
      </w:pPr>
      <w:r>
        <w:t xml:space="preserve">Ordre des Pharmaciens de Paris - Registration No: IDF-75-00123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bill-to"/>
    <w:p>
      <w:pPr>
        <w:pStyle w:val="Heading3"/>
      </w:pPr>
      <w:r>
        <w:t xml:space="preserve">Bill To:</w:t>
      </w:r>
    </w:p>
    <w:p>
      <w:pPr>
        <w:pStyle w:val="FirstParagraph"/>
      </w:pPr>
      <w:r>
        <w:rPr>
          <w:bCs/>
          <w:b/>
        </w:rPr>
        <w:t xml:space="preserve">Hôpital Européen Georges-Pompidou</w:t>
      </w:r>
    </w:p>
    <w:p>
      <w:pPr>
        <w:pStyle w:val="BodyText"/>
      </w:pPr>
      <w:r>
        <w:t xml:space="preserve">Department of Clinical Pharmacy</w:t>
      </w:r>
    </w:p>
    <w:p>
      <w:pPr>
        <w:pStyle w:val="BodyText"/>
      </w:pPr>
      <w:r>
        <w:t xml:space="preserve">20 Rue Leblanc</w:t>
      </w:r>
    </w:p>
    <w:p>
      <w:pPr>
        <w:pStyle w:val="BodyText"/>
      </w:pPr>
      <w:r>
        <w:t xml:space="preserve">75015 Paris, France</w:t>
      </w:r>
    </w:p>
    <w:p>
      <w:pPr>
        <w:pStyle w:val="BodyText"/>
      </w:pPr>
      <w:r>
        <w:t xml:space="preserve">Contact: Dr. Marie Dupont</w:t>
      </w:r>
    </w:p>
    <w:p>
      <w:pPr>
        <w:pStyle w:val="BodyText"/>
      </w:pPr>
      <w:r>
        <w:t xml:space="preserve">Email: finance@egp.aphp.fr</w:t>
      </w:r>
    </w:p>
    <w:bookmarkEnd w:id="22"/>
    <w:bookmarkStart w:id="23" w:name="service-location"/>
    <w:p>
      <w:pPr>
        <w:pStyle w:val="Heading3"/>
      </w:pPr>
      <w:r>
        <w:t xml:space="preserve">Service Location:</w:t>
      </w:r>
    </w:p>
    <w:p>
      <w:pPr>
        <w:pStyle w:val="FirstParagraph"/>
      </w:pPr>
      <w:r>
        <w:rPr>
          <w:bCs/>
          <w:b/>
        </w:rPr>
        <w:t xml:space="preserve">Pharmacie Centrale de Paris</w:t>
      </w:r>
    </w:p>
    <w:p>
      <w:pPr>
        <w:pStyle w:val="BodyText"/>
      </w:pPr>
      <w:r>
        <w:t xml:space="preserve">Consultation Room B</w:t>
      </w:r>
    </w:p>
    <w:p>
      <w:pPr>
        <w:pStyle w:val="BodyText"/>
      </w:pPr>
      <w:r>
        <w:t xml:space="preserve">12 Rue de Rivoli</w:t>
      </w:r>
    </w:p>
    <w:p>
      <w:pPr>
        <w:pStyle w:val="BodyText"/>
      </w:pPr>
      <w:r>
        <w:t xml:space="preserve">75001 Paris, France</w:t>
      </w:r>
    </w:p>
    <w:p>
      <w:pPr>
        <w:pStyle w:val="BodyText"/>
      </w:pPr>
      <w:r>
        <w:rPr>
          <w:iCs/>
          <w:i/>
        </w:rPr>
        <w:t xml:space="preserve">Note: All pharmaceutical consultations and services rendered within the jurisdiction of Paris, France, in compliance with French health regulations.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Medication Therapy Management (MTM)</w:t>
            </w:r>
            <w:r>
              <w:br/>
            </w:r>
            <w:r>
              <w:t xml:space="preserve"> </w:t>
            </w:r>
            <w:r>
              <w:t xml:space="preserve">Detailed review of patient medication profiles conducted by a licensed Pharmacist in Paris. Includes identification of drug interactions, therapeutic duplications, and adherence counseling. Performed in accordance with the French Public Health Code (Code de la Santé Publique).</w:t>
            </w:r>
            <w:r>
              <w:t xml:space="preserve"> </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Specialized Pharmaceutical Consultation for Chronic Diseases</w:t>
            </w:r>
            <w:r>
              <w:br/>
            </w:r>
            <w:r>
              <w:t xml:space="preserve"> </w:t>
            </w:r>
            <w:r>
              <w:t xml:space="preserve">One-on-one consultation sessions provided by a senior Pharmacist specializing in diabetes and cardiovascular care. Includes personalized education on medication usage, lifestyle adjustments, and monitoring protocols specific to patients residing in France Paris.</w:t>
            </w:r>
            <w:r>
              <w:t xml:space="preserve"> </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Compounding of Customized Pharmaceutical Preparations</w:t>
            </w:r>
            <w:r>
              <w:br/>
            </w:r>
            <w:r>
              <w:t xml:space="preserve"> </w:t>
            </w:r>
            <w:r>
              <w:t xml:space="preserve">Preparation of specialized, non-commercially available medications tailored to individual patient needs. All compounding processes adhere strictly to Good Manufacturing Practices (GMP) and regulations enforced by the French National Agency for Medicines and Health Products Safety (ANSM).</w:t>
            </w:r>
            <w:r>
              <w:t xml:space="preserve"> </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4</w:t>
            </w:r>
          </w:p>
        </w:tc>
        <w:tc>
          <w:tcPr/>
          <w:p>
            <w:pPr>
              <w:pStyle w:val="Compact"/>
              <w:jc w:val="left"/>
            </w:pPr>
            <w:r>
              <w:rPr>
                <w:bCs/>
                <w:b/>
              </w:rPr>
              <w:t xml:space="preserve">Pharmacovigilance Reporting and Adverse Event Monitoring</w:t>
            </w:r>
            <w:r>
              <w:br/>
            </w:r>
            <w:r>
              <w:t xml:space="preserve"> </w:t>
            </w:r>
            <w:r>
              <w:t xml:space="preserve">Professional service involving the systematic collection, assessment, and reporting of adverse drug reactions. This service ensures compliance with European Medicines Agency (EMA) and French national pharmacovigilance requirements, safeguarding public health in Paris.</w:t>
            </w:r>
            <w:r>
              <w:t xml:space="preserve"> </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Staff Training on New Pharmaceutical Protocols</w:t>
            </w:r>
            <w:r>
              <w:br/>
            </w:r>
            <w:r>
              <w:t xml:space="preserve"> </w:t>
            </w:r>
            <w:r>
              <w:t xml:space="preserve">Educational workshop delivered by a certified Pharmacist to hospital staff. Topics include updated guidelines for antibiotic stewardship, safe handling of cytotoxic drugs, and emergency medication management. Conducted at the client's facility in Paris, France.</w:t>
            </w:r>
            <w:r>
              <w:t xml:space="preserve"> </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Inventory Management and Supply Chain Optimization Consultation</w:t>
            </w:r>
            <w:r>
              <w:br/>
            </w:r>
            <w:r>
              <w:t xml:space="preserve"> </w:t>
            </w:r>
            <w:r>
              <w:t xml:space="preserve">Expert analysis of pharmaceutical inventory levels, expiration date tracking, and procurement strategies. Aimed at reducing waste and ensuring continuous availability of essential medicines for healthcare facilities operating in France Paris.</w:t>
            </w:r>
            <w:r>
              <w:t xml:space="preserve"> </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€7,500.00</w:t>
            </w:r>
          </w:p>
        </w:tc>
      </w:tr>
      <w:tr>
        <w:tc>
          <w:tcPr/>
          <w:p>
            <w:pPr>
              <w:pStyle w:val="Compact"/>
              <w:jc w:val="left"/>
            </w:pPr>
            <w:r>
              <w:t xml:space="preserve">VAT (TVA) @ 20%:</w:t>
            </w:r>
          </w:p>
        </w:tc>
        <w:tc>
          <w:tcPr/>
          <w:p>
            <w:pPr>
              <w:pStyle w:val="Compact"/>
              <w:jc w:val="left"/>
            </w:pPr>
            <w:r>
              <w:t xml:space="preserve">€1,500.00</w:t>
            </w:r>
          </w:p>
        </w:tc>
      </w:tr>
      <w:tr>
        <w:tc>
          <w:tcPr/>
          <w:p>
            <w:pPr>
              <w:pStyle w:val="Compact"/>
              <w:jc w:val="left"/>
            </w:pPr>
            <w:r>
              <w:t xml:space="preserve">Discount (Early Payment):</w:t>
            </w:r>
          </w:p>
        </w:tc>
        <w:tc>
          <w:tcPr/>
          <w:p>
            <w:pPr>
              <w:pStyle w:val="Compact"/>
              <w:jc w:val="left"/>
            </w:pPr>
            <w:r>
              <w:t xml:space="preserve">-€0.00</w:t>
            </w:r>
          </w:p>
        </w:tc>
      </w:tr>
      <w:tr>
        <w:tc>
          <w:tcPr/>
          <w:p>
            <w:pPr>
              <w:pStyle w:val="Compact"/>
              <w:jc w:val="left"/>
            </w:pPr>
            <w:r>
              <w:t xml:space="preserve">Total Amount Due:</w:t>
            </w:r>
          </w:p>
        </w:tc>
        <w:tc>
          <w:tcPr/>
          <w:p>
            <w:pPr>
              <w:pStyle w:val="Compact"/>
              <w:jc w:val="left"/>
            </w:pPr>
            <w:r>
              <w:t xml:space="preserve">€9,000.00</w:t>
            </w:r>
          </w:p>
        </w:tc>
      </w:tr>
    </w:tbl>
    <w:bookmarkStart w:id="24" w:name="payment-instructions"/>
    <w:p>
      <w:pPr>
        <w:pStyle w:val="Heading3"/>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BNP Paribas</w:t>
      </w:r>
      <w:r>
        <w:br/>
      </w:r>
      <w:r>
        <w:rPr>
          <w:bCs/>
          <w:b/>
        </w:rPr>
        <w:t xml:space="preserve">Account Holder:</w:t>
      </w:r>
      <w:r>
        <w:t xml:space="preserve"> </w:t>
      </w:r>
      <w:r>
        <w:t xml:space="preserve">Pharmacie Centrale de Paris</w:t>
      </w:r>
      <w:r>
        <w:br/>
      </w:r>
      <w:r>
        <w:rPr>
          <w:bCs/>
          <w:b/>
        </w:rPr>
        <w:t xml:space="preserve">IBAN:</w:t>
      </w:r>
      <w:r>
        <w:t xml:space="preserve"> </w:t>
      </w:r>
      <w:r>
        <w:t xml:space="preserve">FR76 3000 1007 9412 3456 7890 189</w:t>
      </w:r>
      <w:r>
        <w:br/>
      </w:r>
      <w:r>
        <w:rPr>
          <w:bCs/>
          <w:b/>
        </w:rPr>
        <w:t xml:space="preserve">BIC/SWIFT:</w:t>
      </w:r>
      <w:r>
        <w:t xml:space="preserve"> </w:t>
      </w:r>
      <w:r>
        <w:t xml:space="preserve">BNPAFRPP</w:t>
      </w:r>
      <w:r>
        <w:br/>
      </w:r>
      <w:r>
        <w:rPr>
          <w:bCs/>
          <w:b/>
        </w:rPr>
        <w:t xml:space="preserve">Reference:</w:t>
      </w:r>
      <w:r>
        <w:t xml:space="preserve"> </w:t>
      </w:r>
      <w:r>
        <w:t xml:space="preserve">INV-2023-10-045</w:t>
      </w:r>
    </w:p>
    <w:p>
      <w:pPr>
        <w:pStyle w:val="BodyText"/>
      </w:pPr>
      <w:r>
        <w:rPr>
          <w:iCs/>
          <w:i/>
        </w:rPr>
        <w:t xml:space="preserve">Note: Please include the invoice number as the payment reference to ensure proper allocation of funds.</w:t>
      </w:r>
    </w:p>
    <w:bookmarkEnd w:id="24"/>
    <w:bookmarkStart w:id="25" w:name="terms-and-conditions"/>
    <w:p>
      <w:pPr>
        <w:pStyle w:val="Heading3"/>
      </w:pPr>
      <w:r>
        <w:t xml:space="preserve">Terms and Conditions</w:t>
      </w:r>
    </w:p>
    <w:p>
      <w:pPr>
        <w:pStyle w:val="FirstParagraph"/>
      </w:pPr>
      <w:r>
        <w:t xml:space="preserve">1. All services rendered by our Pharmacist are subject to the professional standards and ethical guidelines established by the Ordre des Pharmaciens de Paris and the French Public Health Code.</w:t>
      </w:r>
      <w:r>
        <w:br/>
      </w:r>
      <w:r>
        <w:t xml:space="preserve">2. This Invoice reflects the professional fees for pharmaceutical services provided in France Paris. It does not include the cost of medications unless explicitly stated in the description.</w:t>
      </w:r>
      <w:r>
        <w:br/>
      </w:r>
      <w:r>
        <w:t xml:space="preserve">3. Late payments will incur a penalty interest rate of 3 times the legal interest rate, as per French commercial law.</w:t>
      </w:r>
      <w:r>
        <w:br/>
      </w:r>
      <w:r>
        <w:t xml:space="preserve">4. Any disputes regarding this Invoice must be raised within 15 days of receipt. Failure to do so will be considered acceptance of the charges.</w:t>
      </w:r>
      <w:r>
        <w:br/>
      </w:r>
      <w:r>
        <w:t xml:space="preserve">5. Our Pharmacist guarantees the confidentiality of all patient information in accordance with the General Data Protection Regulation (GDPR) and French data protection laws.</w:t>
      </w:r>
      <w:r>
        <w:br/>
      </w:r>
      <w:r>
        <w:t xml:space="preserve">6. This document serves as an official record of the transaction between Pharmacie Centrale de Paris and the client for accounting and regulatory purposes.</w:t>
      </w:r>
    </w:p>
    <w:bookmarkEnd w:id="25"/>
    <w:p>
      <w:pPr>
        <w:pStyle w:val="BodyText"/>
      </w:pPr>
      <w:r>
        <w:t xml:space="preserve">Authorized Signature (Pharmacist)</w:t>
      </w:r>
    </w:p>
    <w:p>
      <w:pPr>
        <w:pStyle w:val="BodyText"/>
      </w:pPr>
      <w:r>
        <w:rPr>
          <w:bCs/>
          <w:b/>
        </w:rPr>
        <w:t xml:space="preserve">Dr. Jean-Pierre Moreau</w:t>
      </w:r>
      <w:r>
        <w:br/>
      </w:r>
      <w:r>
        <w:t xml:space="preserve">Licensed Pharmacist</w:t>
      </w:r>
    </w:p>
    <w:p>
      <w:pPr>
        <w:pStyle w:val="BodyText"/>
      </w:pPr>
      <w:r>
        <w:t xml:space="preserve">Client Acceptance</w:t>
      </w:r>
    </w:p>
    <w:p>
      <w:pPr>
        <w:pStyle w:val="BodyText"/>
      </w:pPr>
      <w:r>
        <w:rPr>
          <w:bCs/>
          <w:b/>
        </w:rPr>
        <w:t xml:space="preserve">Dr. Marie Dupont</w:t>
      </w:r>
      <w:r>
        <w:br/>
      </w:r>
      <w:r>
        <w:t xml:space="preserve">Head of Pharmacy, Hôpital Européen Georges-Pompidou</w:t>
      </w:r>
    </w:p>
    <w:p>
      <w:pPr>
        <w:pStyle w:val="BodyText"/>
      </w:pPr>
      <w:r>
        <w:t xml:space="preserve">Pharmacie Centrale de Paris | 12 Rue de Rivoli, 75001 Paris, France | Tel: +33 1 42 60 00 00</w:t>
      </w:r>
      <w:r>
        <w:br/>
      </w:r>
      <w:r>
        <w:t xml:space="preserve">This Invoice is generated in compliance with French fiscal regulations.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Paris, France</dc:title>
  <dc:creator/>
  <dc:language>en</dc:language>
  <cp:keywords/>
  <dcterms:created xsi:type="dcterms:W3CDTF">2026-10-10T02:33:47Z</dcterms:created>
  <dcterms:modified xsi:type="dcterms:W3CDTF">2026-10-10T02:33:47Z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