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Berlin,</w:t>
      </w:r>
      <w:r>
        <w:t xml:space="preserve"> </w:t>
      </w:r>
      <w:r>
        <w:t xml:space="preserve">Germany</w:t>
      </w:r>
    </w:p>
    <w:bookmarkStart w:id="20" w:name="pharmaconsult-berlin-gmbh"/>
    <w:p>
      <w:pPr>
        <w:pStyle w:val="Heading1"/>
      </w:pPr>
      <w:r>
        <w:t xml:space="preserve">PharmaConsult Berlin GmbH</w:t>
      </w:r>
    </w:p>
    <w:p>
      <w:pPr>
        <w:pStyle w:val="FirstParagraph"/>
      </w:pPr>
      <w:r>
        <w:rPr>
          <w:bCs/>
          <w:b/>
        </w:rPr>
        <w:t xml:space="preserve">Professional Pharmacist Services &amp; Regulatory Consulting</w:t>
      </w:r>
    </w:p>
    <w:p>
      <w:pPr>
        <w:pStyle w:val="BodyText"/>
      </w:pPr>
      <w:r>
        <w:t xml:space="preserve">Friedrichstraße 123, 10117 Berlin, Germany</w:t>
      </w:r>
    </w:p>
    <w:p>
      <w:pPr>
        <w:pStyle w:val="BodyText"/>
      </w:pPr>
      <w:r>
        <w:t xml:space="preserve">Phone: +49 30 12345678 | Email: billing@pharmaconsult-berlin.de</w:t>
      </w:r>
    </w:p>
    <w:p>
      <w:pPr>
        <w:pStyle w:val="BodyText"/>
      </w:pPr>
      <w:r>
        <w:t xml:space="preserve">USt-IdNr.: DE123456789 | HRB 123456 B (Amtsgericht Berlin-Charlottenburg)</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MedTech Solutions GmbH</w:t>
      </w:r>
    </w:p>
    <w:p>
      <w:pPr>
        <w:pStyle w:val="BodyText"/>
      </w:pPr>
      <w:r>
        <w:t xml:space="preserve">Attn: Procurement Department</w:t>
      </w:r>
    </w:p>
    <w:p>
      <w:pPr>
        <w:pStyle w:val="BodyText"/>
      </w:pPr>
      <w:r>
        <w:t xml:space="preserve">Potsdamer Platz 1, 10785 Berlin, Germany</w:t>
      </w:r>
    </w:p>
    <w:p>
      <w:pPr>
        <w:pStyle w:val="BodyText"/>
      </w:pPr>
      <w:r>
        <w:t xml:space="preserve">USt-IdNr.: DE987654321</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Berlin Clinical Trial Compliance Audit</w:t>
      </w:r>
    </w:p>
    <w:p>
      <w:pPr>
        <w:pStyle w:val="BodyText"/>
      </w:pPr>
      <w:r>
        <w:rPr>
          <w:bCs/>
          <w:b/>
        </w:rPr>
        <w:t xml:space="preserve">Service Period:</w:t>
      </w:r>
      <w:r>
        <w:t xml:space="preserve"> </w:t>
      </w:r>
      <w:r>
        <w:t xml:space="preserve">October 1, 2023 - October 20, 2023</w:t>
      </w:r>
    </w:p>
    <w:p>
      <w:pPr>
        <w:pStyle w:val="BodyText"/>
      </w:pPr>
      <w:r>
        <w:rPr>
          <w:bCs/>
          <w:b/>
        </w:rPr>
        <w:t xml:space="preserve">Contact:</w:t>
      </w:r>
      <w:r>
        <w:t xml:space="preserve"> </w:t>
      </w:r>
      <w:r>
        <w:t xml:space="preserve">Dr. Elena Müller, Lead Pharmacist</w:t>
      </w:r>
    </w:p>
    <w:p>
      <w:pPr>
        <w:pStyle w:val="BodyText"/>
      </w:pPr>
      <w:r>
        <w:rPr>
          <w:bCs/>
          <w:b/>
        </w:rPr>
        <w:t xml:space="preserve">Location:</w:t>
      </w:r>
      <w:r>
        <w:t xml:space="preserve"> </w:t>
      </w:r>
      <w:r>
        <w:t xml:space="preserve">Berlin, Germany (On-site &amp; Remote)</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Pharmacist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Regulatory Compliance Audit for Berlin Facility</w:t>
            </w:r>
            <w:r>
              <w:br/>
            </w:r>
            <w:r>
              <w:t xml:space="preserve">Comprehensive review of pharmaceutical storage and handling procedures in accordance with German Arzneimittelgesetz (AMG). Conducted by a licensed Pharmacist specializing in Berlin regional regulations. Includes on-site inspection of temperature-controlled environments and documentation verification.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Clinical Trial Medication Management Consultation</w:t>
            </w:r>
            <w:r>
              <w:br/>
            </w:r>
            <w:r>
              <w:t xml:space="preserve">Expert pharmacist consultation for the design of medication dispensing protocols for a Phase II clinical trial based in Berlin. Ensures adherence to Good Clinical Practice (GCP) guidelines and local German health authority requirements. Includes 4 hours of dedicated strategy meetings.</w:t>
            </w:r>
          </w:p>
        </w:tc>
        <w:tc>
          <w:tcPr/>
          <w:p>
            <w:pPr>
              <w:pStyle w:val="Compact"/>
              <w:jc w:val="left"/>
            </w:pPr>
            <w:r>
              <w:t xml:space="preserve">4</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3</w:t>
            </w:r>
          </w:p>
        </w:tc>
        <w:tc>
          <w:tcPr/>
          <w:p>
            <w:pPr>
              <w:pStyle w:val="Compact"/>
              <w:jc w:val="left"/>
            </w:pPr>
            <w:r>
              <w:rPr>
                <w:bCs/>
                <w:b/>
              </w:rPr>
              <w:t xml:space="preserve">Staff Training: Pharmaceutical Safety &amp; Handling</w:t>
            </w:r>
            <w:r>
              <w:br/>
            </w:r>
            <w:r>
              <w:t xml:space="preserve">On-site training session delivered by a senior Pharmacist for 15 staff members at the Berlin office. Topics include proper drug storage, expiry date management, and emergency procedures for pharmaceutical spills. Training materials provided in German and English.</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4</w:t>
            </w:r>
          </w:p>
        </w:tc>
        <w:tc>
          <w:tcPr/>
          <w:p>
            <w:pPr>
              <w:pStyle w:val="Compact"/>
              <w:jc w:val="left"/>
            </w:pPr>
            <w:r>
              <w:rPr>
                <w:bCs/>
                <w:b/>
              </w:rPr>
              <w:t xml:space="preserve">Inventory Management System Optimization</w:t>
            </w:r>
            <w:r>
              <w:br/>
            </w:r>
            <w:r>
              <w:t xml:space="preserve">Analysis and recommendation report for upgrading the current pharmaceutical inventory system. Focus on integrating barcode scanning technology compliant with German data protection laws (DSGVO). Includes a detailed 20-page report and implementation roadmap.</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Advisory Services: New Drug Introduction</w:t>
            </w:r>
            <w:r>
              <w:br/>
            </w:r>
            <w:r>
              <w:t xml:space="preserve">Consultation regarding the introduction of a new biologic drug into the Berlin clinic's formulary. Includes review of manufacturer guidelines, stability data, and compatibility with existing storage infrastructure. Provided by a specialist Pharmacist with 10+ years of experience in Germany.</w:t>
            </w:r>
          </w:p>
        </w:tc>
        <w:tc>
          <w:tcPr/>
          <w:p>
            <w:pPr>
              <w:pStyle w:val="Compact"/>
              <w:jc w:val="left"/>
            </w:pPr>
            <w:r>
              <w:t xml:space="preserve">3</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6</w:t>
            </w:r>
          </w:p>
        </w:tc>
        <w:tc>
          <w:tcPr/>
          <w:p>
            <w:pPr>
              <w:pStyle w:val="Compact"/>
              <w:jc w:val="left"/>
            </w:pPr>
            <w:r>
              <w:rPr>
                <w:bCs/>
                <w:b/>
              </w:rPr>
              <w:t xml:space="preserve">Documentation Review &amp; Correction</w:t>
            </w:r>
            <w:r>
              <w:br/>
            </w:r>
            <w:r>
              <w:t xml:space="preserve">Detailed review of 50 patient medication records for accuracy and compliance with German pharmacy law. Identification and correction of discrepancies in dosage instructions and patient allergy alerts. Critical for maintaining high standards of patient safety in Berlin healthcare facilities.</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7</w:t>
            </w:r>
          </w:p>
        </w:tc>
        <w:tc>
          <w:tcPr/>
          <w:p>
            <w:pPr>
              <w:pStyle w:val="Compact"/>
              <w:jc w:val="left"/>
            </w:pPr>
            <w:r>
              <w:rPr>
                <w:bCs/>
                <w:b/>
              </w:rPr>
              <w:t xml:space="preserve">Travel Expenses within Berlin</w:t>
            </w:r>
            <w:r>
              <w:br/>
            </w:r>
            <w:r>
              <w:t xml:space="preserve">Reimbursement for public transportation costs incurred by the Pharmacist consultant for on-site visits to the client's Berlin locations. Includes tickets for U-Bahn and S-Bahn as per the official BVG tariff system.</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5,365.00 EUR</w:t>
            </w:r>
          </w:p>
        </w:tc>
      </w:tr>
      <w:tr>
        <w:tc>
          <w:tcPr/>
          <w:p>
            <w:pPr>
              <w:pStyle w:val="Compact"/>
              <w:jc w:val="left"/>
            </w:pPr>
            <w:r>
              <w:t xml:space="preserve">VAT (19% - Germany Standard Rate):</w:t>
            </w:r>
          </w:p>
        </w:tc>
        <w:tc>
          <w:tcPr/>
          <w:p>
            <w:pPr>
              <w:pStyle w:val="Compact"/>
              <w:jc w:val="left"/>
            </w:pPr>
            <w:r>
              <w:t xml:space="preserve">1,019.35 EUR</w:t>
            </w:r>
          </w:p>
        </w:tc>
      </w:tr>
      <w:tr>
        <w:tc>
          <w:tcPr/>
          <w:p>
            <w:pPr>
              <w:pStyle w:val="Compact"/>
              <w:jc w:val="left"/>
            </w:pPr>
            <w:r>
              <w:t xml:space="preserve">Total Amount Due:</w:t>
            </w:r>
          </w:p>
        </w:tc>
        <w:tc>
          <w:tcPr/>
          <w:p>
            <w:pPr>
              <w:pStyle w:val="Compact"/>
              <w:jc w:val="left"/>
            </w:pPr>
            <w:r>
              <w:t xml:space="preserve">6,384.35 EUR</w:t>
            </w:r>
          </w:p>
        </w:tc>
      </w:tr>
    </w:tbl>
    <w:bookmarkStart w:id="24" w:name="payment-instructions"/>
    <w:p>
      <w:pPr>
        <w:pStyle w:val="Heading3"/>
      </w:pPr>
      <w:r>
        <w:t xml:space="preserve">Payment Instructions</w:t>
      </w:r>
    </w:p>
    <w:p>
      <w:pPr>
        <w:pStyle w:val="FirstParagraph"/>
      </w:pPr>
      <w:r>
        <w:t xml:space="preserve">Please transfer the total amount of</w:t>
      </w:r>
      <w:r>
        <w:t xml:space="preserve"> </w:t>
      </w:r>
      <w:r>
        <w:rPr>
          <w:bCs/>
          <w:b/>
        </w:rPr>
        <w:t xml:space="preserve">6,384.35 EUR</w:t>
      </w:r>
      <w:r>
        <w:t xml:space="preserve"> </w:t>
      </w:r>
      <w:r>
        <w:t xml:space="preserve">to the following bank account within 30 days of the invoice date. Late payments may incur interest charges as per German commercial law.</w:t>
      </w:r>
    </w:p>
    <w:p>
      <w:pPr>
        <w:numPr>
          <w:ilvl w:val="0"/>
          <w:numId w:val="1001"/>
        </w:numPr>
        <w:pStyle w:val="Compact"/>
      </w:pPr>
      <w:r>
        <w:rPr>
          <w:bCs/>
          <w:b/>
        </w:rPr>
        <w:t xml:space="preserve">Bank Name:</w:t>
      </w:r>
      <w:r>
        <w:t xml:space="preserve"> </w:t>
      </w:r>
      <w:r>
        <w:t xml:space="preserve">Deutsche Bank AG, Berlin</w:t>
      </w:r>
    </w:p>
    <w:p>
      <w:pPr>
        <w:numPr>
          <w:ilvl w:val="0"/>
          <w:numId w:val="1001"/>
        </w:numPr>
        <w:pStyle w:val="Compact"/>
      </w:pPr>
      <w:r>
        <w:rPr>
          <w:bCs/>
          <w:b/>
        </w:rPr>
        <w:t xml:space="preserve">Account Holder:</w:t>
      </w:r>
      <w:r>
        <w:t xml:space="preserve"> </w:t>
      </w:r>
      <w:r>
        <w:t xml:space="preserve">PharmaConsult Berlin GmbH</w:t>
      </w:r>
    </w:p>
    <w:p>
      <w:pPr>
        <w:numPr>
          <w:ilvl w:val="0"/>
          <w:numId w:val="1001"/>
        </w:numPr>
        <w:pStyle w:val="Compact"/>
      </w:pPr>
      <w:r>
        <w:rPr>
          <w:bCs/>
          <w:b/>
        </w:rPr>
        <w:t xml:space="preserve">IBAN:</w:t>
      </w:r>
      <w:r>
        <w:t xml:space="preserve"> </w:t>
      </w:r>
      <w:r>
        <w:t xml:space="preserve">DE89 3704 0044 0532 0130 00</w:t>
      </w:r>
    </w:p>
    <w:p>
      <w:pPr>
        <w:numPr>
          <w:ilvl w:val="0"/>
          <w:numId w:val="1001"/>
        </w:numPr>
        <w:pStyle w:val="Compact"/>
      </w:pPr>
      <w:r>
        <w:rPr>
          <w:bCs/>
          <w:b/>
        </w:rPr>
        <w:t xml:space="preserve">BIC:</w:t>
      </w:r>
      <w:r>
        <w:t xml:space="preserve"> </w:t>
      </w:r>
      <w:r>
        <w:t xml:space="preserve">DEUTDEDBBER</w:t>
      </w:r>
    </w:p>
    <w:p>
      <w:pPr>
        <w:numPr>
          <w:ilvl w:val="0"/>
          <w:numId w:val="1001"/>
        </w:numPr>
        <w:pStyle w:val="Compact"/>
      </w:pPr>
      <w:r>
        <w:rPr>
          <w:bCs/>
          <w:b/>
        </w:rPr>
        <w:t xml:space="preserve">Reference:</w:t>
      </w:r>
      <w:r>
        <w:t xml:space="preserve"> </w:t>
      </w:r>
      <w:r>
        <w:t xml:space="preserve">INV-2023-10-045</w:t>
      </w:r>
    </w:p>
    <w:bookmarkEnd w:id="24"/>
    <w:bookmarkStart w:id="25" w:name="important-notes-terms"/>
    <w:p>
      <w:pPr>
        <w:pStyle w:val="Heading4"/>
      </w:pPr>
      <w:r>
        <w:t xml:space="preserve">Important Notes &amp; Terms</w:t>
      </w:r>
    </w:p>
    <w:p>
      <w:pPr>
        <w:pStyle w:val="FirstParagraph"/>
      </w:pPr>
      <w:r>
        <w:t xml:space="preserve">This invoice is issued by a licensed Pharmacist consultancy firm operating under the laws of Germany, specifically within the jurisdiction of Berlin. All services rendered comply with the highest standards of pharmaceutical practice and regulatory requirements applicable in Berlin and the Federal Republic of Germany.</w:t>
      </w:r>
    </w:p>
    <w:p>
      <w:pPr>
        <w:pStyle w:val="BodyText"/>
      </w:pPr>
      <w:r>
        <w:t xml:space="preserve">The term "Pharmacist" as used in this document refers to a qualified professional registered with the Berlin Chamber of Pharmacists (Apothekerkammer Berlin). All consultations and audits are conducted with strict adherence to patient confidentiality and data protection regulations (DSGVO/GDPR).</w:t>
      </w:r>
    </w:p>
    <w:p>
      <w:pPr>
        <w:pStyle w:val="BodyText"/>
      </w:pPr>
      <w:r>
        <w:t xml:space="preserve">Payment is due within 30 days of the invoice date. In the event of late payment, interest will be charged at the statutory rate plus 5 percentage points, as per § 288 of the German Civil Code (BGB). Any disputes regarding this invoice must be raised in writing within 14 days of receipt.</w:t>
      </w:r>
    </w:p>
    <w:p>
      <w:pPr>
        <w:pStyle w:val="BodyText"/>
      </w:pPr>
      <w:r>
        <w:t xml:space="preserve">Thank you for choosing PharmaConsult Berlin GmbH for your professional pharmacist services. We are committed to supporting healthcare excellence in Berlin and across Germany.</w:t>
      </w:r>
    </w:p>
    <w:bookmarkEnd w:id="25"/>
    <w:p>
      <w:pPr>
        <w:pStyle w:val="BodyText"/>
      </w:pPr>
      <w:r>
        <w:t xml:space="preserve">PharmaConsult Berlin GmbH | Friedrichstraße 123, 10117 Berlin, Germany | Phone: +49 30 12345678 | Email: billing@pharmaconsult-berlin.de</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Berlin, Germany</dc:title>
  <dc:creator/>
  <dc:language>en</dc:language>
  <cp:keywords/>
  <dcterms:created xsi:type="dcterms:W3CDTF">2026-10-10T02:40:13Z</dcterms:created>
  <dcterms:modified xsi:type="dcterms:W3CDTF">2026-10-10T02:40:13Z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