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w:t>
      </w:r>
      <w:r>
        <w:t xml:space="preserve"> </w:t>
      </w:r>
      <w:r>
        <w:t xml:space="preserve">Invoice</w:t>
      </w:r>
      <w:r>
        <w:t xml:space="preserve"> </w:t>
      </w:r>
      <w:r>
        <w:t xml:space="preserve">-</w:t>
      </w:r>
      <w:r>
        <w:t xml:space="preserve"> </w:t>
      </w:r>
      <w:r>
        <w:t xml:space="preserve">Jakarta,</w:t>
      </w:r>
      <w:r>
        <w:t xml:space="preserve"> </w:t>
      </w:r>
      <w:r>
        <w:t xml:space="preserve">Indonesia</w:t>
      </w:r>
    </w:p>
    <w:bookmarkStart w:id="20" w:name="pt.-medika-utama-jakarta"/>
    <w:p>
      <w:pPr>
        <w:pStyle w:val="Heading1"/>
      </w:pPr>
      <w:r>
        <w:t xml:space="preserve">PT. Medika Utama Jakarta</w:t>
      </w:r>
    </w:p>
    <w:p>
      <w:pPr>
        <w:pStyle w:val="FirstParagraph"/>
      </w:pPr>
      <w:r>
        <w:rPr>
          <w:bCs/>
          <w:b/>
        </w:rPr>
        <w:t xml:space="preserve">Licensed Pharmacy &amp; Pharmaceutical Consulting</w:t>
      </w:r>
    </w:p>
    <w:p>
      <w:pPr>
        <w:pStyle w:val="BodyText"/>
      </w:pPr>
      <w:r>
        <w:t xml:space="preserve">Jl. Sudirman No. 45, Karet Tengsin</w:t>
      </w:r>
    </w:p>
    <w:p>
      <w:pPr>
        <w:pStyle w:val="BodyText"/>
      </w:pPr>
      <w:r>
        <w:t xml:space="preserve">Central Jakarta, DKI Jakarta 12920</w:t>
      </w:r>
    </w:p>
    <w:p>
      <w:pPr>
        <w:pStyle w:val="BodyText"/>
      </w:pPr>
      <w:r>
        <w:t xml:space="preserve">Indonesia</w:t>
      </w:r>
    </w:p>
    <w:p>
      <w:pPr>
        <w:pStyle w:val="BodyText"/>
      </w:pPr>
      <w:r>
        <w:t xml:space="preserve">NIB: 1234567890123 | NPWP: 01.234.567.8-901.000</w:t>
      </w:r>
    </w:p>
    <w:p>
      <w:pPr>
        <w:pStyle w:val="BodyText"/>
      </w:pPr>
      <w:r>
        <w:t xml:space="preserve">Email: billing@medika-utama.co.id | Phone: +62 21 555 0199</w:t>
      </w:r>
    </w:p>
    <w:bookmarkEnd w:id="20"/>
    <w:bookmarkStart w:id="21" w:name="invoice"/>
    <w:p>
      <w:pPr>
        <w:pStyle w:val="Heading2"/>
      </w:pPr>
      <w:r>
        <w:t xml:space="preserve">INVOICE</w:t>
      </w:r>
    </w:p>
    <w:p>
      <w:pPr>
        <w:pStyle w:val="FirstParagraph"/>
      </w:pPr>
      <w:r>
        <w:rPr>
          <w:bCs/>
          <w:b/>
        </w:rPr>
        <w:t xml:space="preserve">Professional Pharmacist Services</w:t>
      </w:r>
    </w:p>
    <w:bookmarkEnd w:id="21"/>
    <w:bookmarkStart w:id="22" w:name="bill-to"/>
    <w:p>
      <w:pPr>
        <w:pStyle w:val="Heading3"/>
      </w:pPr>
      <w:r>
        <w:t xml:space="preserve">Bill To:</w:t>
      </w:r>
    </w:p>
    <w:p>
      <w:pPr>
        <w:pStyle w:val="FirstParagraph"/>
      </w:pPr>
      <w:r>
        <w:rPr>
          <w:bCs/>
          <w:b/>
        </w:rPr>
        <w:t xml:space="preserve">PT. Global Health Solutions</w:t>
      </w:r>
    </w:p>
    <w:p>
      <w:pPr>
        <w:pStyle w:val="BodyText"/>
      </w:pPr>
      <w:r>
        <w:t xml:space="preserve">Attn: Procurement Department</w:t>
      </w:r>
    </w:p>
    <w:p>
      <w:pPr>
        <w:pStyle w:val="BodyText"/>
      </w:pPr>
      <w:r>
        <w:t xml:space="preserve">Jl. Gatot Subroto Kav. 72</w:t>
      </w:r>
    </w:p>
    <w:p>
      <w:pPr>
        <w:pStyle w:val="BodyText"/>
      </w:pPr>
      <w:r>
        <w:t xml:space="preserve">South Jakarta, DKI Jakarta 12710</w:t>
      </w:r>
    </w:p>
    <w:p>
      <w:pPr>
        <w:pStyle w:val="BodyText"/>
      </w:pPr>
      <w:r>
        <w:t xml:space="preserve">Indonesia</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INV-JKT-2023-0892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bookmarkEnd w:id="23"/>
    <w:p>
      <w:pPr>
        <w:pStyle w:val="BodyText"/>
      </w:pPr>
      <w:r>
        <w:t xml:space="preserve">This</w:t>
      </w:r>
      <w:r>
        <w:t xml:space="preserve"> </w:t>
      </w:r>
      <w:r>
        <w:rPr>
          <w:bCs/>
          <w:b/>
        </w:rPr>
        <w:t xml:space="preserve">Invoice</w:t>
      </w:r>
      <w:r>
        <w:t xml:space="preserve"> </w:t>
      </w:r>
      <w:r>
        <w:t xml:space="preserve">represents the formal request for payment for professional pharmaceutical services rendered by our licensed</w:t>
      </w:r>
      <w:r>
        <w:t xml:space="preserve"> </w:t>
      </w:r>
      <w:r>
        <w:rPr>
          <w:bCs/>
          <w:b/>
        </w:rPr>
        <w:t xml:space="preserve">Pharmacist</w:t>
      </w:r>
      <w:r>
        <w:t xml:space="preserve"> </w:t>
      </w:r>
      <w:r>
        <w:t xml:space="preserve">team. These services were conducted in strict accordance with the regulations set forth by the Ministry of Health of the Republic of Indonesia and the Indonesian Pharmacists Association (IAPI). The scope of work covers comprehensive pharmaceutical care, inventory management, and regulatory compliance consulting specifically tailored for operations within</w:t>
      </w:r>
      <w:r>
        <w:t xml:space="preserve"> </w:t>
      </w:r>
      <w:r>
        <w:rPr>
          <w:bCs/>
          <w:b/>
        </w:rPr>
        <w:t xml:space="preserve">Indonesia Jakarta</w:t>
      </w:r>
      <w:r>
        <w:t xml:space="preserv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 / Hours</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rPr>
                <w:bCs/>
                <w:b/>
              </w:rPr>
              <w:t xml:space="preserve">Senior Pharmacist Clinical Consultation:</w:t>
            </w:r>
            <w:r>
              <w:br/>
            </w:r>
            <w:r>
              <w:t xml:space="preserve">Provision of expert clinical advice regarding drug interactions, dosage adjustments, and therapeutic monitoring for in-patient care. This service ensures patient safety and efficacy of treatment protocols in compliance with Jakarta hospital standards.</w:t>
            </w:r>
          </w:p>
        </w:tc>
        <w:tc>
          <w:tcPr/>
          <w:p>
            <w:pPr>
              <w:pStyle w:val="Compact"/>
              <w:jc w:val="left"/>
            </w:pPr>
            <w:r>
              <w:t xml:space="preserve">40 Hours</w:t>
            </w:r>
          </w:p>
        </w:tc>
        <w:tc>
          <w:tcPr/>
          <w:p>
            <w:pPr>
              <w:pStyle w:val="Compact"/>
              <w:jc w:val="left"/>
            </w:pPr>
            <w:r>
              <w:t xml:space="preserve">750,000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Pharmaceutical Inventory Audit &amp; Management:</w:t>
            </w:r>
            <w:r>
              <w:br/>
            </w:r>
            <w:r>
              <w:t xml:space="preserve">Comprehensive audit of pharmaceutical stock levels, expiration date tracking, and cold chain integrity verification. Conducted by a certified Pharmacist to ensure adherence to Good Distribution Practices (GDP) in Indonesia.</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3</w:t>
            </w:r>
          </w:p>
        </w:tc>
        <w:tc>
          <w:tcPr/>
          <w:p>
            <w:pPr>
              <w:pStyle w:val="Compact"/>
              <w:jc w:val="left"/>
            </w:pPr>
            <w:r>
              <w:rPr>
                <w:bCs/>
                <w:b/>
              </w:rPr>
              <w:t xml:space="preserve">Regulatory Compliance Training:</w:t>
            </w:r>
            <w:r>
              <w:br/>
            </w:r>
            <w:r>
              <w:t xml:space="preserve">Workshop for pharmacy staff regarding the latest Indonesian Ministry of Health regulations on narcotics and psychotropic substances. Delivered by a Lead Pharmacist specializing in Indonesian pharmaceutical law.</w:t>
            </w:r>
          </w:p>
        </w:tc>
        <w:tc>
          <w:tcPr/>
          <w:p>
            <w:pPr>
              <w:pStyle w:val="Compact"/>
              <w:jc w:val="left"/>
            </w:pPr>
            <w:r>
              <w:t xml:space="preserve">2 Sessions</w:t>
            </w:r>
          </w:p>
        </w:tc>
        <w:tc>
          <w:tcPr/>
          <w:p>
            <w:pPr>
              <w:pStyle w:val="Compact"/>
              <w:jc w:val="left"/>
            </w:pPr>
            <w:r>
              <w:t xml:space="preserve">5,000,000</w:t>
            </w:r>
          </w:p>
        </w:tc>
        <w:tc>
          <w:tcPr/>
          <w:p>
            <w:pPr>
              <w:pStyle w:val="Compact"/>
              <w:jc w:val="left"/>
            </w:pPr>
            <w:r>
              <w:t xml:space="preserve">10,000,000</w:t>
            </w:r>
          </w:p>
        </w:tc>
      </w:tr>
      <w:tr>
        <w:tc>
          <w:tcPr/>
          <w:p>
            <w:pPr>
              <w:pStyle w:val="Compact"/>
              <w:jc w:val="left"/>
            </w:pPr>
            <w:r>
              <w:t xml:space="preserve">4</w:t>
            </w:r>
          </w:p>
        </w:tc>
        <w:tc>
          <w:tcPr/>
          <w:p>
            <w:pPr>
              <w:pStyle w:val="Compact"/>
              <w:jc w:val="left"/>
            </w:pPr>
            <w:r>
              <w:rPr>
                <w:bCs/>
                <w:b/>
              </w:rPr>
              <w:t xml:space="preserve">Compounding Pharmacy Supervision:</w:t>
            </w:r>
            <w:r>
              <w:br/>
            </w:r>
            <w:r>
              <w:t xml:space="preserve">On-site supervision of sterile compounding processes to ensure aseptic technique and quality control standards are met within the Jakarta facility.</w:t>
            </w:r>
          </w:p>
        </w:tc>
        <w:tc>
          <w:tcPr/>
          <w:p>
            <w:pPr>
              <w:pStyle w:val="Compact"/>
              <w:jc w:val="left"/>
            </w:pPr>
            <w:r>
              <w:t xml:space="preserve">16 Hours</w:t>
            </w:r>
          </w:p>
        </w:tc>
        <w:tc>
          <w:tcPr/>
          <w:p>
            <w:pPr>
              <w:pStyle w:val="Compact"/>
              <w:jc w:val="left"/>
            </w:pPr>
            <w:r>
              <w:t xml:space="preserve">600,000</w:t>
            </w:r>
          </w:p>
        </w:tc>
        <w:tc>
          <w:tcPr/>
          <w:p>
            <w:pPr>
              <w:pStyle w:val="Compact"/>
              <w:jc w:val="left"/>
            </w:pPr>
            <w:r>
              <w:t xml:space="preserve">9,600,000</w:t>
            </w:r>
          </w:p>
        </w:tc>
      </w:tr>
      <w:tr>
        <w:tc>
          <w:tcPr/>
          <w:p>
            <w:pPr>
              <w:pStyle w:val="Compact"/>
              <w:jc w:val="left"/>
            </w:pPr>
            <w:r>
              <w:t xml:space="preserve">5</w:t>
            </w:r>
          </w:p>
        </w:tc>
        <w:tc>
          <w:tcPr/>
          <w:p>
            <w:pPr>
              <w:pStyle w:val="Compact"/>
              <w:jc w:val="left"/>
            </w:pPr>
            <w:r>
              <w:rPr>
                <w:bCs/>
                <w:b/>
              </w:rPr>
              <w:t xml:space="preserve">Pharmacist On-Call Emergency Support:</w:t>
            </w:r>
            <w:r>
              <w:br/>
            </w:r>
            <w:r>
              <w:t xml:space="preserve">Retainer fee for 24/7 availability of a licensed Pharmacist for emergency drug information queries and adverse drug reaction (ADR) reporting support in the Jakarta area.</w:t>
            </w:r>
          </w:p>
        </w:tc>
        <w:tc>
          <w:tcPr/>
          <w:p>
            <w:pPr>
              <w:pStyle w:val="Compact"/>
              <w:jc w:val="left"/>
            </w:pPr>
            <w:r>
              <w:t xml:space="preserve">1 Month</w:t>
            </w:r>
          </w:p>
        </w:tc>
        <w:tc>
          <w:tcPr/>
          <w:p>
            <w:pPr>
              <w:pStyle w:val="Compact"/>
              <w:jc w:val="left"/>
            </w:pPr>
            <w:r>
              <w:t xml:space="preserve">8,000,000</w:t>
            </w:r>
          </w:p>
        </w:tc>
        <w:tc>
          <w:tcPr/>
          <w:p>
            <w:pPr>
              <w:pStyle w:val="Compact"/>
              <w:jc w:val="left"/>
            </w:pPr>
            <w:r>
              <w:t xml:space="preserve">8,000,000</w:t>
            </w:r>
          </w:p>
        </w:tc>
      </w:tr>
    </w:tbl>
    <w:p>
      <w:pPr>
        <w:pStyle w:val="BodyText"/>
      </w:pPr>
      <w:r>
        <w:t xml:space="preserve">Subtotal:</w:t>
      </w:r>
      <w:r>
        <w:t xml:space="preserve"> </w:t>
      </w:r>
      <w:r>
        <w:t xml:space="preserve">IDR 72,600,000</w:t>
      </w:r>
    </w:p>
    <w:p>
      <w:pPr>
        <w:pStyle w:val="BodyText"/>
      </w:pPr>
      <w:r>
        <w:t xml:space="preserve">VAT (PPN) 11%:</w:t>
      </w:r>
      <w:r>
        <w:t xml:space="preserve"> </w:t>
      </w:r>
      <w:r>
        <w:t xml:space="preserve">IDR 7,986,000</w:t>
      </w:r>
    </w:p>
    <w:p>
      <w:pPr>
        <w:pStyle w:val="BodyText"/>
      </w:pPr>
      <w:r>
        <w:t xml:space="preserve">Grand Total:</w:t>
      </w:r>
      <w:r>
        <w:t xml:space="preserve"> </w:t>
      </w:r>
      <w:r>
        <w:t xml:space="preserve">IDR 80,586,000</w:t>
      </w:r>
    </w:p>
    <w:bookmarkStart w:id="24" w:name="payment-terms-conditions"/>
    <w:p>
      <w:pPr>
        <w:pStyle w:val="Heading3"/>
      </w:pPr>
      <w:r>
        <w:t xml:space="preserve">Payment Terms &amp; Conditions:</w:t>
      </w:r>
    </w:p>
    <w:p>
      <w:pPr>
        <w:numPr>
          <w:ilvl w:val="0"/>
          <w:numId w:val="1001"/>
        </w:numPr>
        <w:pStyle w:val="Compact"/>
      </w:pPr>
      <w:r>
        <w:rPr>
          <w:bCs/>
          <w:b/>
        </w:rPr>
        <w:t xml:space="preserve">Currency:</w:t>
      </w:r>
      <w:r>
        <w:t xml:space="preserve"> </w:t>
      </w:r>
      <w:r>
        <w:t xml:space="preserve">All amounts are denominated in Indonesian Rupiah (IDR).</w:t>
      </w:r>
    </w:p>
    <w:p>
      <w:pPr>
        <w:numPr>
          <w:ilvl w:val="0"/>
          <w:numId w:val="1001"/>
        </w:numPr>
        <w:pStyle w:val="Compact"/>
      </w:pPr>
      <w:r>
        <w:rPr>
          <w:bCs/>
          <w:b/>
        </w:rPr>
        <w:t xml:space="preserve">Payment Method:</w:t>
      </w:r>
      <w:r>
        <w:t xml:space="preserve"> </w:t>
      </w:r>
      <w:r>
        <w:t xml:space="preserve">Bank Transfer to BCA (Bank Central Asia), Account Name: PT. Medika Utama Jakarta, Account No: 123-456-7890.</w:t>
      </w:r>
    </w:p>
    <w:p>
      <w:pPr>
        <w:numPr>
          <w:ilvl w:val="0"/>
          <w:numId w:val="1001"/>
        </w:numPr>
        <w:pStyle w:val="Compact"/>
      </w:pPr>
      <w:r>
        <w:rPr>
          <w:bCs/>
          <w:b/>
        </w:rPr>
        <w:t xml:space="preserve">Due Date:</w:t>
      </w:r>
      <w:r>
        <w:t xml:space="preserve"> </w:t>
      </w:r>
      <w:r>
        <w:t xml:space="preserve">Payment is due within 30 days from the date of this Invoice.</w:t>
      </w:r>
    </w:p>
    <w:p>
      <w:pPr>
        <w:numPr>
          <w:ilvl w:val="0"/>
          <w:numId w:val="1001"/>
        </w:numPr>
        <w:pStyle w:val="Compact"/>
      </w:pPr>
      <w:r>
        <w:rPr>
          <w:bCs/>
          <w:b/>
        </w:rPr>
        <w:t xml:space="preserve">Late Payment:</w:t>
      </w:r>
      <w:r>
        <w:t xml:space="preserve"> </w:t>
      </w:r>
      <w:r>
        <w:t xml:space="preserve">A late fee of 2% per month will be applied to overdue balances.</w:t>
      </w:r>
    </w:p>
    <w:p>
      <w:pPr>
        <w:numPr>
          <w:ilvl w:val="0"/>
          <w:numId w:val="1001"/>
        </w:numPr>
        <w:pStyle w:val="Compact"/>
      </w:pPr>
      <w:r>
        <w:rPr>
          <w:bCs/>
          <w:b/>
        </w:rPr>
        <w:t xml:space="preserve">Validity:</w:t>
      </w:r>
      <w:r>
        <w:t xml:space="preserve"> </w:t>
      </w:r>
      <w:r>
        <w:t xml:space="preserve">This Invoice is valid for professional Pharmacist services rendered in Jakarta, Indonesia, as described above.</w:t>
      </w:r>
    </w:p>
    <w:p>
      <w:pPr>
        <w:pStyle w:val="FirstParagraph"/>
      </w:pPr>
      <w:r>
        <w:rPr>
          <w:bCs/>
          <w:b/>
        </w:rPr>
        <w:t xml:space="preserve">Note:</w:t>
      </w:r>
      <w:r>
        <w:t xml:space="preserve"> </w:t>
      </w:r>
      <w:r>
        <w:t xml:space="preserve">This document serves as a legal record of the transaction between the service provider and the client. The services provided by our Pharmacist are guaranteed to meet the highest standards of professional ethics and technical competence required in the Indonesian healthcare sector.</w:t>
      </w:r>
    </w:p>
    <w:bookmarkEnd w:id="24"/>
    <w:p>
      <w:pPr>
        <w:pStyle w:val="BodyText"/>
      </w:pPr>
      <w:r>
        <w:rPr>
          <w:bCs/>
          <w:b/>
        </w:rPr>
        <w:t xml:space="preserve">Authorized by:</w:t>
      </w:r>
    </w:p>
    <w:p>
      <w:pPr>
        <w:pStyle w:val="BodyText"/>
      </w:pPr>
      <w:r>
        <w:t xml:space="preserve">Dr. Sarah Wijaya, Apt., M.Kes.</w:t>
      </w:r>
    </w:p>
    <w:p>
      <w:pPr>
        <w:pStyle w:val="BodyText"/>
      </w:pPr>
      <w:r>
        <w:t xml:space="preserve">Head Pharmacist</w:t>
      </w:r>
    </w:p>
    <w:p>
      <w:pPr>
        <w:pStyle w:val="BodyText"/>
      </w:pPr>
      <w:r>
        <w:t xml:space="preserve">PT. Medika Utama Jakarta</w:t>
      </w:r>
    </w:p>
    <w:p>
      <w:pPr>
        <w:pStyle w:val="BodyText"/>
      </w:pPr>
      <w:r>
        <w:t xml:space="preserve">Signature &amp; Company Stamp</w:t>
      </w:r>
    </w:p>
    <w:p>
      <w:pPr>
        <w:pStyle w:val="BodyText"/>
      </w:pPr>
      <w:r>
        <w:t xml:space="preserve">Thank you for your business. We appreciate your trust in our Pharmacist services.</w:t>
      </w:r>
    </w:p>
    <w:p>
      <w:pPr>
        <w:pStyle w:val="BodyText"/>
      </w:pPr>
      <w:r>
        <w:t xml:space="preserve">PT. Medika Utama Jakarta | Jl. Sudirman No. 45, Central Jakarta, Indonesia</w:t>
      </w:r>
    </w:p>
    <w:p>
      <w:pPr>
        <w:pStyle w:val="BodyText"/>
      </w:pPr>
      <w:r>
        <w:t xml:space="preserve">This Invoice is generated electronically and is valid without a physical signature if accompanied by the company digital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 Invoice - Jakarta, Indonesia</dc:title>
  <dc:creator/>
  <dc:language>en</dc:language>
  <cp:keywords/>
  <dcterms:created xsi:type="dcterms:W3CDTF">2026-10-10T03:39:27Z</dcterms:created>
  <dcterms:modified xsi:type="dcterms:W3CDTF">2026-10-10T03:39:27Z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