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Nairobi,</w:t>
      </w:r>
      <w:r>
        <w:t xml:space="preserve"> </w:t>
      </w:r>
      <w:r>
        <w:t xml:space="preserve">Kenya</w:t>
      </w:r>
    </w:p>
    <w:bookmarkStart w:id="20" w:name="nairobi-health-pharmacy-services"/>
    <w:p>
      <w:pPr>
        <w:pStyle w:val="Heading1"/>
      </w:pPr>
      <w:r>
        <w:t xml:space="preserve">Nairobi Health Pharmacy Services</w:t>
      </w:r>
    </w:p>
    <w:p>
      <w:pPr>
        <w:pStyle w:val="FirstParagraph"/>
      </w:pPr>
      <w:r>
        <w:t xml:space="preserve">Registered Pharmacist: Dr. Jane Wanjiku Kamau</w:t>
      </w:r>
    </w:p>
    <w:p>
      <w:pPr>
        <w:pStyle w:val="BodyText"/>
      </w:pPr>
      <w:r>
        <w:t xml:space="preserve">Pharmacy Practice Number: PP-2023-4567</w:t>
      </w:r>
    </w:p>
    <w:p>
      <w:pPr>
        <w:pStyle w:val="BodyText"/>
      </w:pPr>
      <w:r>
        <w:t xml:space="preserve">Address: 123 Kenyatta Avenue, Westlands, Nairobi, Kenya</w:t>
      </w:r>
    </w:p>
    <w:p>
      <w:pPr>
        <w:pStyle w:val="BodyText"/>
      </w:pPr>
      <w:r>
        <w:t xml:space="preserve">Phone: +254 712 345 678</w:t>
      </w:r>
    </w:p>
    <w:p>
      <w:pPr>
        <w:pStyle w:val="BodyText"/>
      </w:pPr>
      <w:r>
        <w:t xml:space="preserve">Email: billing@nairobipharmacy.co.ke</w:t>
      </w:r>
    </w:p>
    <w:p>
      <w:pPr>
        <w:pStyle w:val="BodyText"/>
      </w:pPr>
      <w:r>
        <w:t xml:space="preserve">KRA PIN: P001234567Z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15, 2023</w:t>
      </w:r>
    </w:p>
    <w:p>
      <w:pPr>
        <w:pStyle w:val="BodyText"/>
      </w:pPr>
      <w:r>
        <w:rPr>
          <w:bCs/>
          <w:b/>
        </w:rPr>
        <w:t xml:space="preserve">Due Date:</w:t>
      </w:r>
      <w:r>
        <w:t xml:space="preserve"> </w:t>
      </w:r>
      <w:r>
        <w:t xml:space="preserve">October 30, 2023</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Nairobi General Hospital Ltd.</w:t>
      </w:r>
    </w:p>
    <w:p>
      <w:pPr>
        <w:pStyle w:val="BodyText"/>
      </w:pPr>
      <w:r>
        <w:rPr>
          <w:bCs/>
          <w:b/>
        </w:rPr>
        <w:t xml:space="preserve">Attention:</w:t>
      </w:r>
      <w:r>
        <w:t xml:space="preserve"> </w:t>
      </w:r>
      <w:r>
        <w:t xml:space="preserve">Procurement Department</w:t>
      </w:r>
    </w:p>
    <w:p>
      <w:pPr>
        <w:pStyle w:val="BodyText"/>
      </w:pPr>
      <w:r>
        <w:rPr>
          <w:bCs/>
          <w:b/>
        </w:rPr>
        <w:t xml:space="preserve">Address:</w:t>
      </w:r>
      <w:r>
        <w:t xml:space="preserve"> </w:t>
      </w:r>
      <w:r>
        <w:t xml:space="preserve">45 Hospital Road, Nairobi CBD, Kenya</w:t>
      </w:r>
    </w:p>
    <w:p>
      <w:pPr>
        <w:pStyle w:val="BodyText"/>
      </w:pPr>
      <w:r>
        <w:rPr>
          <w:bCs/>
          <w:b/>
        </w:rPr>
        <w:t xml:space="preserve">Phone:</w:t>
      </w:r>
      <w:r>
        <w:t xml:space="preserve"> </w:t>
      </w:r>
      <w:r>
        <w:t xml:space="preserve">+254 20 123 4567</w:t>
      </w:r>
    </w:p>
    <w:p>
      <w:pPr>
        <w:pStyle w:val="BodyText"/>
      </w:pPr>
      <w:r>
        <w:rPr>
          <w:bCs/>
          <w:b/>
        </w:rPr>
        <w:t xml:space="preserve">Email:</w:t>
      </w:r>
      <w:r>
        <w:t xml:space="preserve"> </w:t>
      </w:r>
      <w:r>
        <w:t xml:space="preserve">procurement@nairobihospital.go.ke</w:t>
      </w:r>
    </w:p>
    <w:p>
      <w:pPr>
        <w:pStyle w:val="BodyText"/>
      </w:pPr>
      <w:r>
        <w:rPr>
          <w:bCs/>
          <w:b/>
        </w:rPr>
        <w:t xml:space="preserve">KRA PIN:</w:t>
      </w:r>
      <w:r>
        <w:t xml:space="preserve"> </w:t>
      </w:r>
      <w:r>
        <w:t xml:space="preserve">A009876543X</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Professional Pharmacist Consultation Services for Medication Therapy Management (MTM) for inpatients</w:t>
            </w:r>
          </w:p>
        </w:tc>
        <w:tc>
          <w:tcPr/>
          <w:p>
            <w:pPr>
              <w:pStyle w:val="Compact"/>
              <w:jc w:val="left"/>
            </w:pPr>
            <w:r>
              <w:t xml:space="preserve">40 hours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Pharmaceutical Care and Drug Utilization Review (DUR) for chronic disease management programs</w:t>
            </w:r>
          </w:p>
        </w:tc>
        <w:tc>
          <w:tcPr/>
          <w:p>
            <w:pPr>
              <w:pStyle w:val="Compact"/>
              <w:jc w:val="left"/>
            </w:pPr>
            <w:r>
              <w:t xml:space="preserve">25 patients</w:t>
            </w:r>
          </w:p>
        </w:tc>
        <w:tc>
          <w:tcPr/>
          <w:p>
            <w:pPr>
              <w:pStyle w:val="Compact"/>
              <w:jc w:val="left"/>
            </w:pPr>
            <w:r>
              <w:t xml:space="preserve">1,200</w:t>
            </w:r>
          </w:p>
        </w:tc>
        <w:tc>
          <w:tcPr/>
          <w:p>
            <w:pPr>
              <w:pStyle w:val="Compact"/>
              <w:jc w:val="left"/>
            </w:pPr>
            <w:r>
              <w:t xml:space="preserve">30,000</w:t>
            </w:r>
          </w:p>
        </w:tc>
      </w:tr>
      <w:tr>
        <w:tc>
          <w:tcPr/>
          <w:p>
            <w:pPr>
              <w:pStyle w:val="Compact"/>
              <w:jc w:val="left"/>
            </w:pPr>
            <w:r>
              <w:t xml:space="preserve">Supply of specialized pharmaceutical products including antibiotics, antihypertensives, and antidiabetics</w:t>
            </w:r>
          </w:p>
        </w:tc>
        <w:tc>
          <w:tcPr/>
          <w:p>
            <w:pPr>
              <w:pStyle w:val="Compact"/>
              <w:jc w:val="left"/>
            </w:pPr>
            <w:r>
              <w:t xml:space="preserve">1 batch</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Pharmacist-led patient education sessions on medication adherence and lifestyle modifications</w:t>
            </w:r>
          </w:p>
        </w:tc>
        <w:tc>
          <w:tcPr/>
          <w:p>
            <w:pPr>
              <w:pStyle w:val="Compact"/>
              <w:jc w:val="left"/>
            </w:pPr>
            <w:r>
              <w:t xml:space="preserve">10 sessions</w:t>
            </w:r>
          </w:p>
        </w:tc>
        <w:tc>
          <w:tcPr/>
          <w:p>
            <w:pPr>
              <w:pStyle w:val="Compact"/>
              <w:jc w:val="left"/>
            </w:pPr>
            <w:r>
              <w:t xml:space="preserve">3,000</w:t>
            </w:r>
          </w:p>
        </w:tc>
        <w:tc>
          <w:tcPr/>
          <w:p>
            <w:pPr>
              <w:pStyle w:val="Compact"/>
              <w:jc w:val="left"/>
            </w:pPr>
            <w:r>
              <w:t xml:space="preserve">30,000</w:t>
            </w:r>
          </w:p>
        </w:tc>
      </w:tr>
      <w:tr>
        <w:tc>
          <w:tcPr/>
          <w:p>
            <w:pPr>
              <w:pStyle w:val="Compact"/>
              <w:jc w:val="left"/>
            </w:pPr>
            <w:r>
              <w:t xml:space="preserve">Inventory management and stock control services for hospital pharmacy department</w:t>
            </w:r>
          </w:p>
        </w:tc>
        <w:tc>
          <w:tcPr/>
          <w:p>
            <w:pPr>
              <w:pStyle w:val="Compact"/>
              <w:jc w:val="left"/>
            </w:pPr>
            <w:r>
              <w:t xml:space="preserve">1 month</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Compliance audit and regulatory reporting services as per Pharmacy and Poisons Board (PPB) guidelines</w:t>
            </w:r>
          </w:p>
        </w:tc>
        <w:tc>
          <w:tcPr/>
          <w:p>
            <w:pPr>
              <w:pStyle w:val="Compact"/>
              <w:jc w:val="left"/>
            </w:pPr>
            <w:r>
              <w:t xml:space="preserve">1 audit</w:t>
            </w:r>
          </w:p>
        </w:tc>
        <w:tc>
          <w:tcPr/>
          <w:p>
            <w:pPr>
              <w:pStyle w:val="Compact"/>
              <w:jc w:val="left"/>
            </w:pPr>
            <w:r>
              <w:t xml:space="preserve">15,000</w:t>
            </w:r>
          </w:p>
        </w:tc>
        <w:tc>
          <w:tcPr/>
          <w:p>
            <w:pPr>
              <w:pStyle w:val="Compact"/>
              <w:jc w:val="left"/>
            </w:pPr>
            <w:r>
              <w:t xml:space="preserve">15,000</w:t>
            </w:r>
          </w:p>
        </w:tc>
      </w:tr>
    </w:tbl>
    <w:p>
      <w:pPr>
        <w:pStyle w:val="BodyText"/>
      </w:pPr>
      <w:r>
        <w:t xml:space="preserve">Subtotal: KES 350,000</w:t>
      </w:r>
    </w:p>
    <w:p>
      <w:pPr>
        <w:pStyle w:val="BodyText"/>
      </w:pPr>
      <w:r>
        <w:t xml:space="preserve">VAT (16%): KES 56,000</w:t>
      </w:r>
    </w:p>
    <w:p>
      <w:pPr>
        <w:pStyle w:val="BodyText"/>
      </w:pPr>
      <w:r>
        <w:t xml:space="preserve">Grand Total: KES 406,000</w:t>
      </w:r>
    </w:p>
    <w:bookmarkStart w:id="23"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Equity Bank Kenya Ltd.</w:t>
      </w:r>
    </w:p>
    <w:p>
      <w:pPr>
        <w:pStyle w:val="BodyText"/>
      </w:pPr>
      <w:r>
        <w:rPr>
          <w:bCs/>
          <w:b/>
        </w:rPr>
        <w:t xml:space="preserve">Branch:</w:t>
      </w:r>
      <w:r>
        <w:t xml:space="preserve"> </w:t>
      </w:r>
      <w:r>
        <w:t xml:space="preserve">Westlands Branch, Nairobi</w:t>
      </w:r>
    </w:p>
    <w:p>
      <w:pPr>
        <w:pStyle w:val="BodyText"/>
      </w:pPr>
      <w:r>
        <w:rPr>
          <w:bCs/>
          <w:b/>
        </w:rPr>
        <w:t xml:space="preserve">Account Name:</w:t>
      </w:r>
      <w:r>
        <w:t xml:space="preserve"> </w:t>
      </w:r>
      <w:r>
        <w:t xml:space="preserve">Nairobi Health Pharmacy Services</w:t>
      </w:r>
    </w:p>
    <w:p>
      <w:pPr>
        <w:pStyle w:val="BodyText"/>
      </w:pPr>
      <w:r>
        <w:rPr>
          <w:bCs/>
          <w:b/>
        </w:rPr>
        <w:t xml:space="preserve">Account Number:</w:t>
      </w:r>
      <w:r>
        <w:t xml:space="preserve"> </w:t>
      </w:r>
      <w:r>
        <w:t xml:space="preserve">0123456789</w:t>
      </w:r>
    </w:p>
    <w:p>
      <w:pPr>
        <w:pStyle w:val="BodyText"/>
      </w:pPr>
      <w:r>
        <w:rPr>
          <w:bCs/>
          <w:b/>
        </w:rPr>
        <w:t xml:space="preserve">SWIFT Code:</w:t>
      </w:r>
      <w:r>
        <w:t xml:space="preserve"> </w:t>
      </w:r>
      <w:r>
        <w:t xml:space="preserve">EQBLKENAXXX</w:t>
      </w:r>
    </w:p>
    <w:p>
      <w:pPr>
        <w:pStyle w:val="BodyText"/>
      </w:pPr>
      <w:r>
        <w:rPr>
          <w:bCs/>
          <w:b/>
        </w:rPr>
        <w:t xml:space="preserve">Reference:</w:t>
      </w:r>
      <w:r>
        <w:t xml:space="preserve"> </w:t>
      </w:r>
      <w:r>
        <w:t xml:space="preserve">INV-2023-0892</w:t>
      </w:r>
    </w:p>
    <w:p>
      <w:pPr>
        <w:pStyle w:val="BodyText"/>
      </w:pPr>
      <w:r>
        <w:br/>
      </w:r>
    </w:p>
    <w:bookmarkEnd w:id="23"/>
    <w:bookmarkStart w:id="24" w:name="terms-and-conditions"/>
    <w:p>
      <w:pPr>
        <w:pStyle w:val="Heading4"/>
      </w:pPr>
      <w:r>
        <w:t xml:space="preserve">Terms and Conditions:</w:t>
      </w:r>
    </w:p>
    <w:p>
      <w:pPr>
        <w:pStyle w:val="FirstParagraph"/>
      </w:pPr>
      <w:r>
        <w:t xml:space="preserve">1. Payment is due within 15 days of the invoice date. Late payments will incur a penalty of 2% per month.</w:t>
      </w:r>
    </w:p>
    <w:p>
      <w:pPr>
        <w:pStyle w:val="BodyText"/>
      </w:pPr>
      <w:r>
        <w:t xml:space="preserve">2. All services provided are in accordance with the Pharmacy and Poisons Act of Kenya and regulations set by the Pharmacy and Poisons Board (PPB).</w:t>
      </w:r>
    </w:p>
    <w:p>
      <w:pPr>
        <w:pStyle w:val="BodyText"/>
      </w:pPr>
      <w:r>
        <w:t xml:space="preserve">3. The pharmacist services rendered include professional consultation, medication management, and regulatory compliance as outlined in this invoice.</w:t>
      </w:r>
    </w:p>
    <w:p>
      <w:pPr>
        <w:pStyle w:val="BodyText"/>
      </w:pPr>
      <w:r>
        <w:t xml:space="preserve">4. This invoice is valid for transactions conducted in Nairobi, Kenya, and is subject to Kenyan tax laws.</w:t>
      </w:r>
    </w:p>
    <w:p>
      <w:pPr>
        <w:pStyle w:val="BodyText"/>
      </w:pPr>
      <w:r>
        <w:t xml:space="preserve">5. Any disputes regarding this invoice must be raised within 7 days of receipt.</w:t>
      </w:r>
    </w:p>
    <w:p>
      <w:pPr>
        <w:pStyle w:val="BodyText"/>
      </w:pPr>
      <w:r>
        <w:br/>
      </w:r>
    </w:p>
    <w:bookmarkEnd w:id="24"/>
    <w:bookmarkStart w:id="25" w:name="additional-notes"/>
    <w:p>
      <w:pPr>
        <w:pStyle w:val="Heading4"/>
      </w:pPr>
      <w:r>
        <w:t xml:space="preserve">Additional Notes:</w:t>
      </w:r>
    </w:p>
    <w:p>
      <w:pPr>
        <w:pStyle w:val="FirstParagraph"/>
      </w:pPr>
      <w:r>
        <w:t xml:space="preserve">This invoice reflects the professional services provided by a licensed pharmacist operating in Nairobi, Kenya. The services include comprehensive pharmaceutical care, medication therapy management, and regulatory compliance support. All pharmaceutical products supplied are sourced from approved manufacturers and distributors in Kenya, ensuring quality and safety standards are met. The pharmacist services are designed to enhance patient outcomes, optimize medication use, and ensure adherence to national healthcare guidelines. Payment of this invoice confirms acceptance of the services rendered and the terms outlined above.</w:t>
      </w:r>
    </w:p>
    <w:bookmarkEnd w:id="25"/>
    <w:p>
      <w:pPr>
        <w:pStyle w:val="BodyText"/>
      </w:pPr>
      <w:r>
        <w:t xml:space="preserve">Thank you for your business. This invoice is generated in compliance with Kenyan tax regulations and is valid for use in Nairobi, Kenya.</w:t>
      </w:r>
    </w:p>
    <w:p>
      <w:pPr>
        <w:pStyle w:val="BodyText"/>
      </w:pPr>
      <w:r>
        <w:t xml:space="preserve">Nairobi Health Pharmacy Services | Registered Pharmacist: Dr. Jane Wanjiku Kamau | PP-2023-4567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Nairobi, Kenya</dc:title>
  <dc:creator/>
  <dc:language>en</dc:language>
  <cp:keywords/>
  <dcterms:created xsi:type="dcterms:W3CDTF">2026-10-10T01:17:29Z</dcterms:created>
  <dcterms:modified xsi:type="dcterms:W3CDTF">2026-10-10T01:17:29Z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