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amsterdam-central-pharmacy-consultancy"/>
    <w:p>
      <w:pPr>
        <w:pStyle w:val="Heading1"/>
      </w:pPr>
      <w:r>
        <w:t xml:space="preserve">Amsterdam Central Pharmacy Consultancy</w:t>
      </w:r>
    </w:p>
    <w:p>
      <w:pPr>
        <w:pStyle w:val="FirstParagraph"/>
      </w:pPr>
      <w:r>
        <w:rPr>
          <w:bCs/>
          <w:b/>
        </w:rPr>
        <w:t xml:space="preserve">Lead Pharmacist:</w:t>
      </w:r>
      <w:r>
        <w:t xml:space="preserve"> </w:t>
      </w:r>
      <w:r>
        <w:t xml:space="preserve">Dr. Elias van der Berg, MSc</w:t>
      </w:r>
    </w:p>
    <w:p>
      <w:pPr>
        <w:pStyle w:val="BodyText"/>
      </w:pPr>
      <w:r>
        <w:t xml:space="preserve">Keizersgracht 123, 1015 CJ Amsterdam, Netherlands</w:t>
      </w:r>
    </w:p>
    <w:p>
      <w:pPr>
        <w:pStyle w:val="BodyText"/>
      </w:pPr>
      <w:r>
        <w:t xml:space="preserve">Phone: +31 20 123 4567 | Email: billing@amsterdampharmacy.nl</w:t>
      </w:r>
    </w:p>
    <w:p>
      <w:pPr>
        <w:pStyle w:val="BodyText"/>
      </w:pPr>
      <w:r>
        <w:t xml:space="preserve">KVK (Chamber of Commerce): 12345678 | VAT ID: NL123456789B01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ed-to"/>
    <w:p>
      <w:pPr>
        <w:pStyle w:val="Heading3"/>
      </w:pPr>
      <w:r>
        <w:t xml:space="preserve">Billed To:</w:t>
      </w:r>
    </w:p>
    <w:p>
      <w:pPr>
        <w:pStyle w:val="FirstParagraph"/>
      </w:pPr>
      <w:r>
        <w:rPr>
          <w:bCs/>
          <w:b/>
        </w:rPr>
        <w:t xml:space="preserve">St. Lucas Andreas Hospital</w:t>
      </w:r>
    </w:p>
    <w:p>
      <w:pPr>
        <w:pStyle w:val="BodyText"/>
      </w:pPr>
      <w:r>
        <w:t xml:space="preserve">Procurement Department</w:t>
      </w:r>
    </w:p>
    <w:p>
      <w:pPr>
        <w:pStyle w:val="BodyText"/>
      </w:pPr>
      <w:r>
        <w:t xml:space="preserve">Jan van Galenstraat 1, 1066 CE Amsterdam, Netherlands</w:t>
      </w:r>
    </w:p>
    <w:p>
      <w:pPr>
        <w:pStyle w:val="BodyText"/>
      </w:pPr>
      <w:r>
        <w:t xml:space="preserve">Contact: Mrs. Sarah de Vries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Service Period:</w:t>
      </w:r>
      <w:r>
        <w:t xml:space="preserve"> </w:t>
      </w:r>
      <w:r>
        <w:t xml:space="preserve">October 1 - October 31, 2023</w:t>
      </w:r>
    </w:p>
    <w:p>
      <w:pPr>
        <w:pStyle w:val="BodyText"/>
      </w:pPr>
      <w:r>
        <w:rPr>
          <w:bCs/>
          <w:b/>
        </w:rPr>
        <w:t xml:space="preserve">Project:</w:t>
      </w:r>
      <w:r>
        <w:t xml:space="preserve"> </w:t>
      </w:r>
      <w:r>
        <w:t xml:space="preserve">Clinical Pharmacy Optimization &amp; Staff Training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Pharmacist Clinical Consultation:</w:t>
            </w:r>
            <w:r>
              <w:t xml:space="preserve"> </w:t>
            </w:r>
            <w:r>
              <w:t xml:space="preserve">Comprehensive review of medication protocols for the oncology ward. This service includes the analysis of drug interactions, dosage adjustments based on patient demographics, and recommendations for cost-effective therapeutic alternatives in accordance with Dutch healthcare standards.</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Staff Training Workshop:</w:t>
            </w:r>
            <w:r>
              <w:t xml:space="preserve"> </w:t>
            </w:r>
            <w:r>
              <w:t xml:space="preserve">"Advanced Pharmacovigilance in Amsterdam Hospitals." A full-day seminar conducted by a senior Pharmacist for nursing and medical staff, focusing on adverse drug reaction reporting systems (Lareb) and regulatory compliance within the Netherlands.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Inventory Management Audit:</w:t>
            </w:r>
            <w:r>
              <w:t xml:space="preserve"> </w:t>
            </w:r>
            <w:r>
              <w:t xml:space="preserve">Detailed audit of pharmaceutical stock levels, expiration date tracking, and cold chain management for vaccines. Ensuring compliance with the Dutch Medicines Act (Geneesmiddelenwet) and optimizing supply chain efficiency for the Amsterdam facility.</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Regulatory Compliance Review:</w:t>
            </w:r>
            <w:r>
              <w:t xml:space="preserve"> </w:t>
            </w:r>
            <w:r>
              <w:t xml:space="preserve">Assessment of current pharmacy operations against the latest guidelines from the Dutch Healthcare Authority (NZa). Includes preparation of documentation for upcoming inspections and implementation of new safety protocols.</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5</w:t>
            </w:r>
          </w:p>
        </w:tc>
        <w:tc>
          <w:tcPr/>
          <w:p>
            <w:pPr>
              <w:pStyle w:val="Compact"/>
              <w:jc w:val="left"/>
            </w:pPr>
            <w:r>
              <w:rPr>
                <w:bCs/>
                <w:b/>
              </w:rPr>
              <w:t xml:space="preserve">Patient Counseling Program Development:</w:t>
            </w:r>
            <w:r>
              <w:t xml:space="preserve"> </w:t>
            </w:r>
            <w:r>
              <w:t xml:space="preserve">Design and implementation of a structured medication counseling program for chronic disease management (diabetes and hypertension). Tailored for the multicultural population of Amsterdam, including materials in Dutch, English, and Turkish.</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p>
      <w:pPr>
        <w:pStyle w:val="BodyText"/>
      </w:pPr>
      <w:r>
        <w:t xml:space="preserve">Subtotal:</w:t>
      </w:r>
      <w:r>
        <w:t xml:space="preserve"> </w:t>
      </w:r>
      <w:r>
        <w:t xml:space="preserve">7,300.00 EUR</w:t>
      </w:r>
    </w:p>
    <w:p>
      <w:pPr>
        <w:pStyle w:val="BodyText"/>
      </w:pPr>
      <w:r>
        <w:t xml:space="preserve">VAT (21%):</w:t>
      </w:r>
      <w:r>
        <w:t xml:space="preserve"> </w:t>
      </w:r>
      <w:r>
        <w:t xml:space="preserve">1,533.00 EUR</w:t>
      </w:r>
    </w:p>
    <w:p>
      <w:pPr>
        <w:pStyle w:val="BodyText"/>
      </w:pPr>
      <w:r>
        <w:t xml:space="preserve">Total Amount Due:</w:t>
      </w:r>
      <w:r>
        <w:t xml:space="preserve"> </w:t>
      </w:r>
      <w:r>
        <w:t xml:space="preserve">8,833.00 EUR</w:t>
      </w:r>
    </w:p>
    <w:bookmarkStart w:id="24" w:name="terms-and-conditions-notes"/>
    <w:p>
      <w:pPr>
        <w:pStyle w:val="Heading4"/>
      </w:pPr>
      <w:r>
        <w:t xml:space="preserve">Terms and Conditions &amp; Notes:</w:t>
      </w:r>
    </w:p>
    <w:p>
      <w:pPr>
        <w:pStyle w:val="FirstParagraph"/>
      </w:pPr>
      <w:r>
        <w:t xml:space="preserve">This invoice is issued by a licensed Pharmacist operating under the regulations of the Netherlands. All services provided adhere to the highest standards of pharmaceutical care and professional ethics as defined by the Dutch Pharmacists Association (NVKF).</w:t>
      </w:r>
    </w:p>
    <w:p>
      <w:pPr>
        <w:pStyle w:val="BodyText"/>
      </w:pPr>
      <w:r>
        <w:t xml:space="preserve">Payment is due within 30 days of the invoice date. Late payments may incur a statutory interest rate as per Dutch law. Please include the invoice number (INV-2023-10-045) as the reference for all payments.</w:t>
      </w:r>
    </w:p>
    <w:p>
      <w:pPr>
        <w:pStyle w:val="BodyText"/>
      </w:pPr>
      <w:r>
        <w:t xml:space="preserve">The services detailed above were performed specifically for the Amsterdam location. Any travel expenses outside the Amsterdam metropolitan area would be billed separately. All clinical recommendations provided are based on current evidence-based medicine and Dutch national guidelines.</w:t>
      </w:r>
    </w:p>
    <w:p>
      <w:pPr>
        <w:pStyle w:val="BodyText"/>
      </w:pPr>
      <w:r>
        <w:t xml:space="preserve">If you have any questions regarding this invoice or the services provided by our Pharmacist team, please contact our billing department at billing@amsterdampharmacy.nl or call +31 20 123 4567. We appreciate your business and look forward to continuing our partnership in enhancing healthcare quality in Amsterdam.</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ING Bank N.V., Amsterdam</w:t>
      </w:r>
    </w:p>
    <w:p>
      <w:pPr>
        <w:pStyle w:val="BodyText"/>
      </w:pPr>
      <w:r>
        <w:rPr>
          <w:bCs/>
          <w:b/>
        </w:rPr>
        <w:t xml:space="preserve">Account Holder:</w:t>
      </w:r>
      <w:r>
        <w:t xml:space="preserve"> </w:t>
      </w:r>
      <w:r>
        <w:t xml:space="preserve">Amsterdam Central Pharmacy Consultancy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INV-2023-10-045</w:t>
      </w:r>
    </w:p>
    <w:bookmarkEnd w:id="25"/>
    <w:p>
      <w:pPr>
        <w:pStyle w:val="BodyText"/>
      </w:pPr>
      <w:r>
        <w:t xml:space="preserve">Amsterdam Central Pharmacy Consultancy B.V. | Keizersgracht 123, 1015 CJ Amsterdam, Netherlands</w:t>
      </w:r>
    </w:p>
    <w:p>
      <w:pPr>
        <w:pStyle w:val="BodyText"/>
      </w:pPr>
      <w:r>
        <w:t xml:space="preserve">KVK: 12345678 | VAT: NL123456789B01 | This is a computer-generated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Amsterdam, Netherlands</dc:title>
  <dc:creator/>
  <dc:language>en</dc:language>
  <cp:keywords/>
  <dcterms:created xsi:type="dcterms:W3CDTF">2026-10-10T03:37:59Z</dcterms:created>
  <dcterms:modified xsi:type="dcterms:W3CDTF">2026-10-10T03:37:59Z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