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invoice"/>
    <w:p>
      <w:pPr>
        <w:pStyle w:val="Heading1"/>
      </w:pPr>
      <w:r>
        <w:t xml:space="preserve">INVOICE</w:t>
      </w:r>
    </w:p>
    <w:p>
      <w:pPr>
        <w:pStyle w:val="FirstParagraph"/>
      </w:pPr>
      <w:r>
        <w:t xml:space="preserve">Professional Pharmacist Services</w:t>
      </w:r>
    </w:p>
    <w:bookmarkEnd w:id="20"/>
    <w:bookmarkStart w:id="21" w:name="pharmacist-services-provider"/>
    <w:p>
      <w:pPr>
        <w:pStyle w:val="Heading2"/>
      </w:pPr>
      <w:r>
        <w:t xml:space="preserve">Pharmacist Services Provider</w:t>
      </w:r>
    </w:p>
    <w:p>
      <w:pPr>
        <w:pStyle w:val="FirstParagraph"/>
      </w:pPr>
      <w:r>
        <w:t xml:space="preserve">Auckland Pharmacy Solutions Ltd.</w:t>
      </w:r>
      <w:r>
        <w:br/>
      </w:r>
      <w:r>
        <w:t xml:space="preserve">123 Queen Street</w:t>
      </w:r>
      <w:r>
        <w:br/>
      </w:r>
      <w:r>
        <w:t xml:space="preserve">Auckland CBD</w:t>
      </w:r>
      <w:r>
        <w:br/>
      </w:r>
      <w:r>
        <w:t xml:space="preserve">Auckland 1010</w:t>
      </w:r>
      <w:r>
        <w:br/>
      </w:r>
      <w:r>
        <w:t xml:space="preserve">New Zealand</w:t>
      </w:r>
      <w:r>
        <w:br/>
      </w:r>
      <w:r>
        <w:t xml:space="preserve">Phone: +64 9 123 4567</w:t>
      </w:r>
      <w:r>
        <w:br/>
      </w:r>
      <w:r>
        <w:t xml:space="preserve">Email: billing@aucklandpharmacysolutions.co.nz</w:t>
      </w:r>
      <w:r>
        <w:br/>
      </w:r>
      <w:r>
        <w:t xml:space="preserve">NZBN: 9429045678901</w:t>
      </w:r>
      <w:r>
        <w:br/>
      </w:r>
      <w:r>
        <w:t xml:space="preserve">GST Number: 123-456-789</w:t>
      </w:r>
    </w:p>
    <w:bookmarkEnd w:id="21"/>
    <w:bookmarkStart w:id="22" w:name="billed-to"/>
    <w:p>
      <w:pPr>
        <w:pStyle w:val="Heading2"/>
      </w:pPr>
      <w:r>
        <w:t xml:space="preserve">Billed To</w:t>
      </w:r>
    </w:p>
    <w:p>
      <w:pPr>
        <w:pStyle w:val="FirstParagraph"/>
      </w:pPr>
      <w:r>
        <w:t xml:space="preserve">Auckland Regional Health Authority</w:t>
      </w:r>
      <w:r>
        <w:br/>
      </w:r>
      <w:r>
        <w:t xml:space="preserve">456 Federal Street</w:t>
      </w:r>
      <w:r>
        <w:br/>
      </w:r>
      <w:r>
        <w:t xml:space="preserve">Grafton</w:t>
      </w:r>
      <w:r>
        <w:br/>
      </w:r>
      <w:r>
        <w:t xml:space="preserve">Auckland 1023</w:t>
      </w:r>
      <w:r>
        <w:br/>
      </w:r>
      <w:r>
        <w:t xml:space="preserve">New Zealand</w:t>
      </w:r>
      <w:r>
        <w:br/>
      </w:r>
      <w:r>
        <w:t xml:space="preserve">Contact: Procurement Department</w:t>
      </w:r>
      <w:r>
        <w:br/>
      </w:r>
      <w:r>
        <w:t xml:space="preserve">Email: procurement@aucklandhealth.nz</w:t>
      </w:r>
    </w:p>
    <w:bookmarkEnd w:id="22"/>
    <w:p>
      <w:pPr>
        <w:pStyle w:val="BodyText"/>
      </w:pPr>
      <w:r>
        <w:rPr>
          <w:bCs/>
          <w:b/>
        </w:rPr>
        <w:t xml:space="preserve">Invoice Number:</w:t>
      </w:r>
      <w:r>
        <w:t xml:space="preserve"> </w:t>
      </w:r>
      <w:r>
        <w:t xml:space="preserve">INV-2024-0456</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Service Period:</w:t>
      </w:r>
      <w:r>
        <w:t xml:space="preserve"> </w:t>
      </w:r>
      <w:r>
        <w:t xml:space="preserve">1 October 2024 - 31 October 2024</w:t>
      </w:r>
    </w:p>
    <w:p>
      <w:pPr>
        <w:pStyle w:val="BodyText"/>
      </w:pPr>
      <w:r>
        <w:rPr>
          <w:bCs/>
          <w:b/>
        </w:rPr>
        <w:t xml:space="preserve">Payment Terms:</w:t>
      </w:r>
      <w:r>
        <w:t xml:space="preserve"> </w:t>
      </w:r>
      <w:r>
        <w:t xml:space="preserve">Net 30 Days</w:t>
      </w:r>
    </w:p>
    <w:bookmarkStart w:id="23" w:name="Xd59bbcbef481cae356f6e87558a0c59fdd2b4f2"/>
    <w:p>
      <w:pPr>
        <w:pStyle w:val="Heading2"/>
      </w:pPr>
      <w:r>
        <w:t xml:space="preserve">Professional Pharmacist Services Rendered</w:t>
      </w:r>
    </w:p>
    <w:p>
      <w:pPr>
        <w:pStyle w:val="FirstParagraph"/>
      </w:pPr>
      <w:r>
        <w:t xml:space="preserve">This invoice details the comprehensive pharmaceutical services provided by our licensed Pharmacist team in Auckland, New Zealand. Our services adhere to the highest standards set by the Pharmacy Council of New Zealand and comply with all relevant legislation, including the Medicines Act 1981 and the Misuse of Drugs Act 1975.</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rPr>
                <w:bCs/>
                <w:b/>
              </w:rPr>
              <w:t xml:space="preserve">Medication Dispensing Services</w:t>
            </w:r>
            <w:r>
              <w:br/>
            </w:r>
            <w:r>
              <w:t xml:space="preserve">Professional dispensing of prescription medications, including verification of prescriptions, patient counseling, and medication reconciliation. Services provided in accordance with New Zealand pharmaceutical standards.</w:t>
            </w:r>
          </w:p>
        </w:tc>
        <w:tc>
          <w:tcPr/>
          <w:p>
            <w:pPr>
              <w:pStyle w:val="Compact"/>
              <w:jc w:val="left"/>
            </w:pPr>
            <w:r>
              <w:t xml:space="preserve">150</w:t>
            </w:r>
          </w:p>
        </w:tc>
        <w:tc>
          <w:tcPr/>
          <w:p>
            <w:pPr>
              <w:pStyle w:val="Compact"/>
              <w:jc w:val="left"/>
            </w:pPr>
            <w:r>
              <w:t xml:space="preserve">25.00</w:t>
            </w:r>
          </w:p>
        </w:tc>
        <w:tc>
          <w:tcPr/>
          <w:p>
            <w:pPr>
              <w:pStyle w:val="Compact"/>
              <w:jc w:val="left"/>
            </w:pPr>
            <w:r>
              <w:t xml:space="preserve">3,750.00</w:t>
            </w:r>
          </w:p>
        </w:tc>
      </w:tr>
      <w:tr>
        <w:tc>
          <w:tcPr/>
          <w:p>
            <w:pPr>
              <w:pStyle w:val="Compact"/>
              <w:jc w:val="left"/>
            </w:pPr>
            <w:r>
              <w:rPr>
                <w:bCs/>
                <w:b/>
              </w:rPr>
              <w:t xml:space="preserve">Clinical Pharmacist Consultations</w:t>
            </w:r>
            <w:r>
              <w:br/>
            </w:r>
            <w:r>
              <w:t xml:space="preserve">One-on-one consultations with patients regarding medication management, side effects, and therapeutic outcomes. Conducted by registered Pharmacists in Auckland.</w:t>
            </w:r>
          </w:p>
        </w:tc>
        <w:tc>
          <w:tcPr/>
          <w:p>
            <w:pPr>
              <w:pStyle w:val="Compact"/>
              <w:jc w:val="left"/>
            </w:pPr>
            <w:r>
              <w:t xml:space="preserve">50</w:t>
            </w:r>
          </w:p>
        </w:tc>
        <w:tc>
          <w:tcPr/>
          <w:p>
            <w:pPr>
              <w:pStyle w:val="Compact"/>
              <w:jc w:val="left"/>
            </w:pPr>
            <w:r>
              <w:t xml:space="preserve">45.00</w:t>
            </w:r>
          </w:p>
        </w:tc>
        <w:tc>
          <w:tcPr/>
          <w:p>
            <w:pPr>
              <w:pStyle w:val="Compact"/>
              <w:jc w:val="left"/>
            </w:pPr>
            <w:r>
              <w:t xml:space="preserve">2,250.00</w:t>
            </w:r>
          </w:p>
        </w:tc>
      </w:tr>
      <w:tr>
        <w:tc>
          <w:tcPr/>
          <w:p>
            <w:pPr>
              <w:pStyle w:val="Compact"/>
              <w:jc w:val="left"/>
            </w:pPr>
            <w:r>
              <w:rPr>
                <w:bCs/>
                <w:b/>
              </w:rPr>
              <w:t xml:space="preserve">Medication Therapy Management</w:t>
            </w:r>
            <w:r>
              <w:br/>
            </w:r>
            <w:r>
              <w:t xml:space="preserve">Comprehensive review of patient medication regimens to optimize therapeutic outcomes and minimize adverse drug events. Includes documentation and reporting.</w:t>
            </w:r>
          </w:p>
        </w:tc>
        <w:tc>
          <w:tcPr/>
          <w:p>
            <w:pPr>
              <w:pStyle w:val="Compact"/>
              <w:jc w:val="left"/>
            </w:pPr>
            <w:r>
              <w:t xml:space="preserve">30</w:t>
            </w:r>
          </w:p>
        </w:tc>
        <w:tc>
          <w:tcPr/>
          <w:p>
            <w:pPr>
              <w:pStyle w:val="Compact"/>
              <w:jc w:val="left"/>
            </w:pPr>
            <w:r>
              <w:t xml:space="preserve">60.00</w:t>
            </w:r>
          </w:p>
        </w:tc>
        <w:tc>
          <w:tcPr/>
          <w:p>
            <w:pPr>
              <w:pStyle w:val="Compact"/>
              <w:jc w:val="left"/>
            </w:pPr>
            <w:r>
              <w:t xml:space="preserve">1,800.00</w:t>
            </w:r>
          </w:p>
        </w:tc>
      </w:tr>
      <w:tr>
        <w:tc>
          <w:tcPr/>
          <w:p>
            <w:pPr>
              <w:pStyle w:val="Compact"/>
              <w:jc w:val="left"/>
            </w:pPr>
            <w:r>
              <w:rPr>
                <w:bCs/>
                <w:b/>
              </w:rPr>
              <w:t xml:space="preserve">Immunization Services</w:t>
            </w:r>
            <w:r>
              <w:br/>
            </w:r>
            <w:r>
              <w:t xml:space="preserve">Administration of vaccines including influenza, COVID-19, and travel vaccines by qualified Pharmacist practitioners in Auckland, New Zealand.</w:t>
            </w:r>
          </w:p>
        </w:tc>
        <w:tc>
          <w:tcPr/>
          <w:p>
            <w:pPr>
              <w:pStyle w:val="Compact"/>
              <w:jc w:val="left"/>
            </w:pPr>
            <w:r>
              <w:t xml:space="preserve">100</w:t>
            </w:r>
          </w:p>
        </w:tc>
        <w:tc>
          <w:tcPr/>
          <w:p>
            <w:pPr>
              <w:pStyle w:val="Compact"/>
              <w:jc w:val="left"/>
            </w:pPr>
            <w:r>
              <w:t xml:space="preserve">20.00</w:t>
            </w:r>
          </w:p>
        </w:tc>
        <w:tc>
          <w:tcPr/>
          <w:p>
            <w:pPr>
              <w:pStyle w:val="Compact"/>
              <w:jc w:val="left"/>
            </w:pPr>
            <w:r>
              <w:t xml:space="preserve">2,000.00</w:t>
            </w:r>
          </w:p>
        </w:tc>
      </w:tr>
      <w:tr>
        <w:tc>
          <w:tcPr/>
          <w:p>
            <w:pPr>
              <w:pStyle w:val="Compact"/>
              <w:jc w:val="left"/>
            </w:pPr>
            <w:r>
              <w:rPr>
                <w:bCs/>
                <w:b/>
              </w:rPr>
              <w:t xml:space="preserve">Chronic Disease Management Programs</w:t>
            </w:r>
            <w:r>
              <w:br/>
            </w:r>
            <w:r>
              <w:t xml:space="preserve">Ongoing support and monitoring for patients with chronic conditions such as diabetes, hypertension, and asthma. Includes regular follow-ups and medication adjustments.</w:t>
            </w:r>
          </w:p>
        </w:tc>
        <w:tc>
          <w:tcPr/>
          <w:p>
            <w:pPr>
              <w:pStyle w:val="Compact"/>
              <w:jc w:val="left"/>
            </w:pPr>
            <w:r>
              <w:t xml:space="preserve">25</w:t>
            </w:r>
          </w:p>
        </w:tc>
        <w:tc>
          <w:tcPr/>
          <w:p>
            <w:pPr>
              <w:pStyle w:val="Compact"/>
              <w:jc w:val="left"/>
            </w:pPr>
            <w:r>
              <w:t xml:space="preserve">75.00</w:t>
            </w:r>
          </w:p>
        </w:tc>
        <w:tc>
          <w:tcPr/>
          <w:p>
            <w:pPr>
              <w:pStyle w:val="Compact"/>
              <w:jc w:val="left"/>
            </w:pPr>
            <w:r>
              <w:t xml:space="preserve">1,875.00</w:t>
            </w:r>
          </w:p>
        </w:tc>
      </w:tr>
      <w:tr>
        <w:tc>
          <w:tcPr/>
          <w:p>
            <w:pPr>
              <w:pStyle w:val="Compact"/>
              <w:jc w:val="left"/>
            </w:pPr>
            <w:r>
              <w:rPr>
                <w:bCs/>
                <w:b/>
              </w:rPr>
              <w:t xml:space="preserve">Pharmaceutical Inventory Management</w:t>
            </w:r>
            <w:r>
              <w:br/>
            </w:r>
            <w:r>
              <w:t xml:space="preserve">Management and optimization of pharmaceutical stock levels, including ordering, storage, and compliance with New Zealand regulatory requirements.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Staff Training and Education</w:t>
            </w:r>
            <w:r>
              <w:br/>
            </w:r>
            <w:r>
              <w:t xml:space="preserve">Training sessions for healthcare staff on new medications, best practices, and regulatory updates specific to New Zealand pharmaceutical standards.</w:t>
            </w:r>
          </w:p>
        </w:tc>
        <w:tc>
          <w:tcPr/>
          <w:p>
            <w:pPr>
              <w:pStyle w:val="Compact"/>
              <w:jc w:val="left"/>
            </w:pPr>
            <w:r>
              <w:t xml:space="preserve">5</w:t>
            </w:r>
          </w:p>
        </w:tc>
        <w:tc>
          <w:tcPr/>
          <w:p>
            <w:pPr>
              <w:pStyle w:val="Compact"/>
              <w:jc w:val="left"/>
            </w:pPr>
            <w:r>
              <w:t xml:space="preserve">300.00</w:t>
            </w:r>
          </w:p>
        </w:tc>
        <w:tc>
          <w:tcPr/>
          <w:p>
            <w:pPr>
              <w:pStyle w:val="Compact"/>
              <w:jc w:val="left"/>
            </w:pPr>
            <w:r>
              <w:t xml:space="preserve">1,500.00</w:t>
            </w:r>
          </w:p>
        </w:tc>
      </w:tr>
    </w:tbl>
    <w:p/>
    <w:tbl>
      <w:tblPr>
        <w:tblStyle w:val="Table"/>
        <w:tblW w:type="auto" w:w="0"/>
        <w:tblLook w:firstRow="0" w:lastRow="0" w:firstColumn="0" w:lastColumn="0" w:noHBand="0" w:noVBand="0" w:val="0000"/>
      </w:tblPr>
      <w:tblGrid>
        <w:gridCol w:w="1980"/>
        <w:gridCol w:w="1980"/>
        <w:gridCol w:w="1980"/>
        <w:gridCol w:w="1980"/>
      </w:tblGrid>
      <w:tr>
        <w:tc>
          <w:tcPr>
            <w:gridSpan w:val="3"/>
          </w:tcPr>
          <w:p>
            <w:pPr>
              <w:pStyle w:val="Compact"/>
              <w:jc w:val="right"/>
            </w:pPr>
            <w:r>
              <w:rPr>
                <w:bCs/>
                <w:b/>
              </w:rPr>
              <w:t xml:space="preserve">Subtotal:</w:t>
            </w:r>
          </w:p>
        </w:tc>
        <w:tc>
          <w:tcPr/>
          <w:p>
            <w:pPr>
              <w:pStyle w:val="Compact"/>
              <w:jc w:val="left"/>
            </w:pPr>
            <w:r>
              <w:t xml:space="preserve">14,675.00</w:t>
            </w:r>
          </w:p>
        </w:tc>
      </w:tr>
      <w:tr>
        <w:tc>
          <w:tcPr>
            <w:gridSpan w:val="3"/>
          </w:tcPr>
          <w:p>
            <w:pPr>
              <w:pStyle w:val="Compact"/>
              <w:jc w:val="right"/>
            </w:pPr>
            <w:r>
              <w:rPr>
                <w:bCs/>
                <w:b/>
              </w:rPr>
              <w:t xml:space="preserve">GST (15%):</w:t>
            </w:r>
          </w:p>
        </w:tc>
        <w:tc>
          <w:tcPr/>
          <w:p>
            <w:pPr>
              <w:pStyle w:val="Compact"/>
              <w:jc w:val="left"/>
            </w:pPr>
            <w:r>
              <w:t xml:space="preserve">2,201.25</w:t>
            </w:r>
          </w:p>
        </w:tc>
      </w:tr>
      <w:tr>
        <w:tc>
          <w:tcPr>
            <w:gridSpan w:val="3"/>
          </w:tcPr>
          <w:p>
            <w:pPr>
              <w:pStyle w:val="Compact"/>
              <w:jc w:val="right"/>
            </w:pPr>
            <w:r>
              <w:rPr>
                <w:bCs/>
                <w:b/>
              </w:rPr>
              <w:t xml:space="preserve">Total Amount Due (NZD):</w:t>
            </w:r>
          </w:p>
        </w:tc>
        <w:tc>
          <w:tcPr/>
          <w:p>
            <w:pPr>
              <w:pStyle w:val="Compact"/>
              <w:jc w:val="left"/>
            </w:pPr>
            <w:r>
              <w:t xml:space="preserve">16,876.25</w:t>
            </w:r>
          </w:p>
        </w:tc>
      </w:tr>
    </w:tbl>
    <w:bookmarkEnd w:id="23"/>
    <w:bookmarkStart w:id="24" w:name="payment-instructions"/>
    <w:p>
      <w:pPr>
        <w:pStyle w:val="Heading2"/>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ANZ New Zealand</w:t>
      </w:r>
      <w:r>
        <w:br/>
      </w:r>
      <w:r>
        <w:rPr>
          <w:bCs/>
          <w:b/>
        </w:rPr>
        <w:t xml:space="preserve">Account Name:</w:t>
      </w:r>
      <w:r>
        <w:t xml:space="preserve"> </w:t>
      </w:r>
      <w:r>
        <w:t xml:space="preserve">Auckland Pharmacy Solutions Ltd.</w:t>
      </w:r>
      <w:r>
        <w:br/>
      </w:r>
      <w:r>
        <w:rPr>
          <w:bCs/>
          <w:b/>
        </w:rPr>
        <w:t xml:space="preserve">Account Number:</w:t>
      </w:r>
      <w:r>
        <w:t xml:space="preserve"> </w:t>
      </w:r>
      <w:r>
        <w:t xml:space="preserve">01-0123-0456789-00</w:t>
      </w:r>
      <w:r>
        <w:br/>
      </w:r>
      <w:r>
        <w:rPr>
          <w:bCs/>
          <w:b/>
        </w:rPr>
        <w:t xml:space="preserve">Reference:</w:t>
      </w:r>
      <w:r>
        <w:t xml:space="preserve"> </w:t>
      </w:r>
      <w:r>
        <w:t xml:space="preserve">INV-2024-0456</w:t>
      </w:r>
    </w:p>
    <w:bookmarkEnd w:id="24"/>
    <w:bookmarkStart w:id="25" w:name="important-notes"/>
    <w:p>
      <w:pPr>
        <w:pStyle w:val="Heading2"/>
      </w:pPr>
      <w:r>
        <w:t xml:space="preserve">Important Notes</w:t>
      </w:r>
    </w:p>
    <w:p>
      <w:pPr>
        <w:pStyle w:val="FirstParagraph"/>
      </w:pPr>
      <w:r>
        <w:t xml:space="preserve">This invoice is issued in accordance with New Zealand tax regulations. All services were performed by licensed Pharmacists registered with the Pharmacy Council of New Zealand. Auckland Pharmacy Solutions Ltd. is committed to providing high-quality pharmaceutical services that meet the needs of our clients in Auckland and throughout New Zealand.</w:t>
      </w:r>
    </w:p>
    <w:p>
      <w:pPr>
        <w:pStyle w:val="BodyText"/>
      </w:pPr>
      <w:r>
        <w:t xml:space="preserve">If you have any questions regarding this invoice or the services provided, please contact our billing department at billing@aucklandpharmacysolutions.co.nz or call +64 9 123 4567.</w:t>
      </w:r>
    </w:p>
    <w:p>
      <w:pPr>
        <w:pStyle w:val="BodyText"/>
      </w:pPr>
      <w:r>
        <w:t xml:space="preserve">Thank you for your business. We look forward to continuing our partnership in delivering exceptional pharmaceutical care in Auckland, New Zealand.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Auckland, New Zealand</dc:title>
  <dc:creator/>
  <dc:language>en</dc:language>
  <cp:keywords/>
  <dcterms:created xsi:type="dcterms:W3CDTF">2026-10-10T02:44:47Z</dcterms:created>
  <dcterms:modified xsi:type="dcterms:W3CDTF">2026-10-10T02:44:47Z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